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06863" w14:textId="642F3F5A" w:rsidR="003A67AA" w:rsidRPr="001B1DA7" w:rsidRDefault="009964F9" w:rsidP="003A67AA">
      <w:pPr>
        <w:keepNext/>
        <w:pBdr>
          <w:bottom w:val="single" w:sz="18" w:space="4" w:color="204C81"/>
        </w:pBdr>
        <w:outlineLvl w:val="0"/>
        <w:rPr>
          <w:rFonts w:ascii="Tahoma" w:eastAsia="Times New Roman" w:hAnsi="Tahoma"/>
          <w:b/>
          <w:bCs/>
          <w:color w:val="204C81"/>
          <w:sz w:val="24"/>
          <w:szCs w:val="24"/>
        </w:rPr>
      </w:pPr>
      <w:r w:rsidRPr="001B1DA7">
        <w:rPr>
          <w:rFonts w:ascii="Tahoma" w:eastAsia="Times New Roman" w:hAnsi="Tahoma"/>
          <w:b/>
          <w:bCs/>
          <w:color w:val="204C81"/>
          <w:sz w:val="24"/>
          <w:szCs w:val="24"/>
        </w:rPr>
        <w:t xml:space="preserve">&lt;Fill in </w:t>
      </w:r>
      <w:r w:rsidR="00527AE9" w:rsidRPr="001B1DA7">
        <w:rPr>
          <w:rFonts w:ascii="Tahoma" w:eastAsia="Times New Roman" w:hAnsi="Tahoma"/>
          <w:b/>
          <w:bCs/>
          <w:color w:val="204C81"/>
          <w:sz w:val="24"/>
          <w:szCs w:val="24"/>
        </w:rPr>
        <w:t>Assessment Area</w:t>
      </w:r>
      <w:r w:rsidRPr="001B1DA7">
        <w:rPr>
          <w:rFonts w:ascii="Tahoma" w:eastAsia="Times New Roman" w:hAnsi="Tahoma"/>
          <w:b/>
          <w:bCs/>
          <w:color w:val="204C81"/>
          <w:sz w:val="24"/>
          <w:szCs w:val="24"/>
        </w:rPr>
        <w:t>&gt;</w:t>
      </w:r>
    </w:p>
    <w:p w14:paraId="4F816ED0" w14:textId="77777777" w:rsidR="003A67AA" w:rsidRPr="001B1DA7" w:rsidRDefault="003A67AA" w:rsidP="003A67AA">
      <w:pPr>
        <w:pBdr>
          <w:bottom w:val="single" w:sz="4" w:space="1" w:color="5D85A9"/>
        </w:pBdr>
        <w:rPr>
          <w:rFonts w:eastAsia="Calibri"/>
          <w:b/>
          <w:color w:val="1F497D"/>
          <w:sz w:val="24"/>
          <w:szCs w:val="24"/>
        </w:rPr>
      </w:pPr>
      <w:r w:rsidRPr="001B1DA7">
        <w:rPr>
          <w:rFonts w:eastAsia="Calibri"/>
          <w:b/>
          <w:color w:val="1F497D"/>
          <w:sz w:val="24"/>
          <w:szCs w:val="24"/>
        </w:rPr>
        <w:t>Probabilistic Assessment Overview</w:t>
      </w:r>
    </w:p>
    <w:p w14:paraId="73918F89" w14:textId="354E30C4" w:rsidR="001C2CC2" w:rsidRPr="001B1DA7" w:rsidRDefault="004858E7" w:rsidP="00DF4ABA">
      <w:pPr>
        <w:pStyle w:val="ListParagraph"/>
        <w:numPr>
          <w:ilvl w:val="0"/>
          <w:numId w:val="1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b/>
          <w:sz w:val="24"/>
          <w:szCs w:val="24"/>
        </w:rPr>
        <w:t>General Overview –</w:t>
      </w:r>
      <w:r w:rsidR="00527BE8" w:rsidRPr="001B1DA7">
        <w:rPr>
          <w:rFonts w:eastAsia="Calibri"/>
          <w:b/>
          <w:sz w:val="24"/>
          <w:szCs w:val="24"/>
        </w:rPr>
        <w:t xml:space="preserve"> </w:t>
      </w:r>
      <w:r w:rsidR="00DF4D1E" w:rsidRPr="001B1DA7">
        <w:rPr>
          <w:rFonts w:eastAsia="Calibri"/>
          <w:sz w:val="24"/>
          <w:szCs w:val="24"/>
        </w:rPr>
        <w:t>Use this section to provide high-level summary of study results, noteworthy trends from 201</w:t>
      </w:r>
      <w:r w:rsidR="009964F9" w:rsidRPr="001B1DA7">
        <w:rPr>
          <w:rFonts w:eastAsia="Calibri"/>
          <w:sz w:val="24"/>
          <w:szCs w:val="24"/>
        </w:rPr>
        <w:t>8</w:t>
      </w:r>
      <w:r w:rsidR="00DF4D1E" w:rsidRPr="001B1DA7">
        <w:rPr>
          <w:rFonts w:eastAsia="Calibri"/>
          <w:sz w:val="24"/>
          <w:szCs w:val="24"/>
        </w:rPr>
        <w:t xml:space="preserve">, model enhancements, etc. Please keep this paragraph to a maximum of </w:t>
      </w:r>
      <w:r w:rsidR="009964F9" w:rsidRPr="001B1DA7">
        <w:rPr>
          <w:rFonts w:eastAsia="Calibri"/>
          <w:sz w:val="24"/>
          <w:szCs w:val="24"/>
        </w:rPr>
        <w:t xml:space="preserve">five </w:t>
      </w:r>
      <w:r w:rsidR="00DF4D1E" w:rsidRPr="001B1DA7">
        <w:rPr>
          <w:rFonts w:eastAsia="Calibri"/>
          <w:sz w:val="24"/>
          <w:szCs w:val="24"/>
        </w:rPr>
        <w:t>lines.</w:t>
      </w:r>
    </w:p>
    <w:p w14:paraId="12B7018B" w14:textId="64EAE46F" w:rsidR="00833158" w:rsidRPr="001B1DA7" w:rsidRDefault="00CA2BAA" w:rsidP="00DF4ABA">
      <w:pPr>
        <w:pStyle w:val="ListParagraph"/>
        <w:numPr>
          <w:ilvl w:val="0"/>
          <w:numId w:val="1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b/>
          <w:sz w:val="24"/>
          <w:szCs w:val="24"/>
        </w:rPr>
        <w:t xml:space="preserve">Modeling – </w:t>
      </w:r>
      <w:r w:rsidR="00833158" w:rsidRPr="001B1DA7">
        <w:rPr>
          <w:rFonts w:eastAsia="Calibri"/>
          <w:sz w:val="24"/>
          <w:szCs w:val="24"/>
        </w:rPr>
        <w:t>Use leading paragraph to explain the model used and system representation, e.g. x interconnected areas…</w:t>
      </w:r>
    </w:p>
    <w:p w14:paraId="00D4156C" w14:textId="557378E9" w:rsidR="00282E6C" w:rsidRPr="001B1DA7" w:rsidRDefault="00DC1BD6" w:rsidP="00DF4ABA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Annual peak demand</w:t>
      </w:r>
      <w:r w:rsidR="001A14DE" w:rsidRPr="001B1DA7">
        <w:rPr>
          <w:rFonts w:eastAsia="Calibri"/>
          <w:sz w:val="24"/>
          <w:szCs w:val="24"/>
        </w:rPr>
        <w:t xml:space="preserve"> in [Assessment Area]</w:t>
      </w:r>
      <w:r w:rsidRPr="001B1DA7">
        <w:rPr>
          <w:rFonts w:eastAsia="Calibri"/>
          <w:sz w:val="24"/>
          <w:szCs w:val="24"/>
        </w:rPr>
        <w:t xml:space="preserve"> varies by</w:t>
      </w:r>
      <w:r w:rsidR="00EB52B0" w:rsidRPr="001B1DA7">
        <w:rPr>
          <w:rFonts w:eastAsia="Calibri"/>
          <w:sz w:val="24"/>
          <w:szCs w:val="24"/>
        </w:rPr>
        <w:t xml:space="preserve">  </w:t>
      </w:r>
      <w:r w:rsidRPr="001B1DA7">
        <w:rPr>
          <w:rFonts w:eastAsia="Calibri"/>
          <w:sz w:val="24"/>
          <w:szCs w:val="24"/>
        </w:rPr>
        <w:t xml:space="preserve"> </w:t>
      </w:r>
      <w:r w:rsidR="00EB52B0" w:rsidRPr="001B1DA7">
        <w:rPr>
          <w:rFonts w:eastAsia="Calibri" w:cs="Calibri"/>
          <w:sz w:val="24"/>
          <w:szCs w:val="24"/>
        </w:rPr>
        <w:t>̴</w:t>
      </w:r>
      <w:r w:rsidRPr="001B1DA7">
        <w:rPr>
          <w:rFonts w:eastAsia="Calibri"/>
          <w:sz w:val="24"/>
          <w:szCs w:val="24"/>
        </w:rPr>
        <w:t xml:space="preserve"> </w:t>
      </w:r>
      <w:r w:rsidRPr="001B1DA7">
        <w:rPr>
          <w:rFonts w:eastAsia="Calibri" w:cs="Calibri"/>
          <w:sz w:val="24"/>
          <w:szCs w:val="24"/>
        </w:rPr>
        <w:t>±</w:t>
      </w:r>
      <w:r w:rsidRPr="001B1DA7">
        <w:rPr>
          <w:rFonts w:eastAsia="Calibri"/>
          <w:sz w:val="24"/>
          <w:szCs w:val="24"/>
        </w:rPr>
        <w:t xml:space="preserve"> </w:t>
      </w:r>
      <w:r w:rsidR="001A14DE" w:rsidRPr="001B1DA7">
        <w:rPr>
          <w:rFonts w:eastAsia="Calibri"/>
          <w:sz w:val="24"/>
          <w:szCs w:val="24"/>
        </w:rPr>
        <w:t>[</w:t>
      </w:r>
      <w:r w:rsidR="00496006" w:rsidRPr="001B1DA7">
        <w:rPr>
          <w:rFonts w:eastAsia="Calibri"/>
          <w:sz w:val="24"/>
          <w:szCs w:val="24"/>
        </w:rPr>
        <w:t>#</w:t>
      </w:r>
      <w:proofErr w:type="gramStart"/>
      <w:r w:rsidR="001A14DE" w:rsidRPr="001B1DA7">
        <w:rPr>
          <w:rFonts w:eastAsia="Calibri"/>
          <w:sz w:val="24"/>
          <w:szCs w:val="24"/>
        </w:rPr>
        <w:t>]</w:t>
      </w:r>
      <w:r w:rsidR="00496006" w:rsidRPr="001B1DA7">
        <w:rPr>
          <w:rFonts w:eastAsia="Calibri"/>
          <w:sz w:val="24"/>
          <w:szCs w:val="24"/>
        </w:rPr>
        <w:t>%</w:t>
      </w:r>
      <w:proofErr w:type="gramEnd"/>
      <w:r w:rsidR="00496006" w:rsidRPr="001B1DA7">
        <w:rPr>
          <w:rFonts w:eastAsia="Calibri"/>
          <w:sz w:val="24"/>
          <w:szCs w:val="24"/>
        </w:rPr>
        <w:t xml:space="preserve"> </w:t>
      </w:r>
      <w:r w:rsidRPr="001B1DA7">
        <w:rPr>
          <w:rFonts w:eastAsia="Calibri"/>
          <w:sz w:val="24"/>
          <w:szCs w:val="24"/>
        </w:rPr>
        <w:t>of forecaste</w:t>
      </w:r>
      <w:r w:rsidR="0029444E" w:rsidRPr="001B1DA7">
        <w:rPr>
          <w:rFonts w:eastAsia="Calibri"/>
          <w:sz w:val="24"/>
          <w:szCs w:val="24"/>
        </w:rPr>
        <w:t xml:space="preserve">d </w:t>
      </w:r>
      <w:r w:rsidR="001A14DE" w:rsidRPr="001B1DA7">
        <w:rPr>
          <w:rFonts w:eastAsia="Calibri"/>
          <w:sz w:val="24"/>
          <w:szCs w:val="24"/>
        </w:rPr>
        <w:t>[Assessment Area]</w:t>
      </w:r>
      <w:r w:rsidR="0029444E" w:rsidRPr="001B1DA7">
        <w:rPr>
          <w:rFonts w:eastAsia="Calibri"/>
          <w:sz w:val="24"/>
          <w:szCs w:val="24"/>
        </w:rPr>
        <w:t xml:space="preserve"> demand based upon </w:t>
      </w:r>
      <w:r w:rsidR="001A14DE" w:rsidRPr="001B1DA7">
        <w:rPr>
          <w:rFonts w:eastAsia="Calibri"/>
          <w:sz w:val="24"/>
          <w:szCs w:val="24"/>
        </w:rPr>
        <w:t>the 90/10%</w:t>
      </w:r>
      <w:r w:rsidR="0029444E" w:rsidRPr="001B1DA7">
        <w:rPr>
          <w:rFonts w:eastAsia="Calibri"/>
          <w:sz w:val="24"/>
          <w:szCs w:val="24"/>
        </w:rPr>
        <w:t xml:space="preserve"> </w:t>
      </w:r>
      <w:r w:rsidRPr="001B1DA7">
        <w:rPr>
          <w:rFonts w:eastAsia="Calibri"/>
          <w:sz w:val="24"/>
          <w:szCs w:val="24"/>
        </w:rPr>
        <w:t>percent</w:t>
      </w:r>
      <w:r w:rsidR="001A14DE" w:rsidRPr="001B1DA7">
        <w:rPr>
          <w:rFonts w:eastAsia="Calibri"/>
          <w:sz w:val="24"/>
          <w:szCs w:val="24"/>
        </w:rPr>
        <w:t xml:space="preserve"> points of load forecast uncertainty (LFU</w:t>
      </w:r>
      <w:r w:rsidRPr="001B1DA7">
        <w:rPr>
          <w:rFonts w:eastAsia="Calibri"/>
          <w:sz w:val="24"/>
          <w:szCs w:val="24"/>
        </w:rPr>
        <w:t>)</w:t>
      </w:r>
      <w:r w:rsidR="001A14DE" w:rsidRPr="001B1DA7">
        <w:rPr>
          <w:rFonts w:eastAsia="Calibri"/>
          <w:sz w:val="24"/>
          <w:szCs w:val="24"/>
        </w:rPr>
        <w:t xml:space="preserve"> distributions</w:t>
      </w:r>
      <w:r w:rsidRPr="001B1DA7">
        <w:rPr>
          <w:rFonts w:eastAsia="Calibri"/>
          <w:sz w:val="24"/>
          <w:szCs w:val="24"/>
        </w:rPr>
        <w:t xml:space="preserve">. </w:t>
      </w:r>
    </w:p>
    <w:p w14:paraId="21E19E2F" w14:textId="435663A5" w:rsidR="00282E6C" w:rsidRPr="001B1DA7" w:rsidRDefault="00DC1BD6" w:rsidP="00DF4ABA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Ther</w:t>
      </w:r>
      <w:r w:rsidR="00F011D1" w:rsidRPr="001B1DA7">
        <w:rPr>
          <w:rFonts w:eastAsia="Calibri"/>
          <w:sz w:val="24"/>
          <w:szCs w:val="24"/>
        </w:rPr>
        <w:t xml:space="preserve">mal units </w:t>
      </w:r>
      <w:r w:rsidR="00496006" w:rsidRPr="001B1DA7">
        <w:rPr>
          <w:rFonts w:eastAsia="Calibri"/>
          <w:sz w:val="24"/>
          <w:szCs w:val="24"/>
        </w:rPr>
        <w:t xml:space="preserve">in [Assessment Area] </w:t>
      </w:r>
      <w:r w:rsidR="00F011D1" w:rsidRPr="001B1DA7">
        <w:rPr>
          <w:rFonts w:eastAsia="Calibri"/>
          <w:sz w:val="24"/>
          <w:szCs w:val="24"/>
        </w:rPr>
        <w:t xml:space="preserve">follow a </w:t>
      </w:r>
      <w:r w:rsidR="00833158" w:rsidRPr="001B1DA7">
        <w:rPr>
          <w:rFonts w:eastAsia="Calibri"/>
          <w:sz w:val="24"/>
          <w:szCs w:val="24"/>
        </w:rPr>
        <w:t xml:space="preserve">[describe sequence…e.g. </w:t>
      </w:r>
      <w:r w:rsidR="00F011D1" w:rsidRPr="001B1DA7">
        <w:rPr>
          <w:rFonts w:eastAsia="Calibri"/>
          <w:sz w:val="24"/>
          <w:szCs w:val="24"/>
        </w:rPr>
        <w:t>two-state on-or-</w:t>
      </w:r>
      <w:r w:rsidRPr="001B1DA7">
        <w:rPr>
          <w:rFonts w:eastAsia="Calibri"/>
          <w:sz w:val="24"/>
          <w:szCs w:val="24"/>
        </w:rPr>
        <w:t xml:space="preserve">off </w:t>
      </w:r>
      <w:r w:rsidR="00F011D1" w:rsidRPr="001B1DA7">
        <w:rPr>
          <w:rFonts w:eastAsia="Calibri"/>
          <w:sz w:val="24"/>
          <w:szCs w:val="24"/>
        </w:rPr>
        <w:t>sequence based on Monte Carlo simulation</w:t>
      </w:r>
      <w:r w:rsidR="00833158" w:rsidRPr="001B1DA7">
        <w:rPr>
          <w:rFonts w:eastAsia="Calibri"/>
          <w:sz w:val="24"/>
          <w:szCs w:val="24"/>
        </w:rPr>
        <w:t>]</w:t>
      </w:r>
      <w:r w:rsidR="00F011D1" w:rsidRPr="001B1DA7">
        <w:rPr>
          <w:rFonts w:eastAsia="Calibri"/>
          <w:sz w:val="24"/>
          <w:szCs w:val="24"/>
        </w:rPr>
        <w:t xml:space="preserve">, which utilizes </w:t>
      </w:r>
      <w:r w:rsidR="00496006" w:rsidRPr="001B1DA7">
        <w:rPr>
          <w:rFonts w:eastAsia="Calibri"/>
          <w:sz w:val="24"/>
          <w:szCs w:val="24"/>
        </w:rPr>
        <w:t>[describe performance rates/durations]</w:t>
      </w:r>
      <w:r w:rsidR="00F011D1" w:rsidRPr="001B1DA7">
        <w:rPr>
          <w:rFonts w:eastAsia="Calibri"/>
          <w:sz w:val="24"/>
          <w:szCs w:val="24"/>
        </w:rPr>
        <w:t xml:space="preserve">, which on average is equivalent to de-rating </w:t>
      </w:r>
      <w:r w:rsidR="00496006" w:rsidRPr="001B1DA7">
        <w:rPr>
          <w:rFonts w:eastAsia="Calibri"/>
          <w:sz w:val="24"/>
          <w:szCs w:val="24"/>
        </w:rPr>
        <w:t>[Assessment Area]</w:t>
      </w:r>
      <w:r w:rsidR="00F011D1" w:rsidRPr="001B1DA7">
        <w:rPr>
          <w:rFonts w:eastAsia="Calibri"/>
          <w:sz w:val="24"/>
          <w:szCs w:val="24"/>
        </w:rPr>
        <w:t xml:space="preserve"> thermal generating resources by </w:t>
      </w:r>
      <w:r w:rsidR="00EB52B0" w:rsidRPr="001B1DA7">
        <w:rPr>
          <w:rFonts w:eastAsia="Calibri"/>
          <w:sz w:val="24"/>
          <w:szCs w:val="24"/>
        </w:rPr>
        <w:t xml:space="preserve">  </w:t>
      </w:r>
      <w:r w:rsidR="00EB52B0" w:rsidRPr="001B1DA7">
        <w:rPr>
          <w:rFonts w:eastAsia="Calibri" w:cs="Calibri"/>
          <w:sz w:val="24"/>
          <w:szCs w:val="24"/>
        </w:rPr>
        <w:t>̴</w:t>
      </w:r>
      <w:r w:rsidR="00EB52B0" w:rsidRPr="001B1DA7">
        <w:rPr>
          <w:rFonts w:eastAsia="Calibri"/>
          <w:sz w:val="24"/>
          <w:szCs w:val="24"/>
        </w:rPr>
        <w:t xml:space="preserve"> </w:t>
      </w:r>
      <w:r w:rsidR="00496006" w:rsidRPr="001B1DA7">
        <w:rPr>
          <w:rFonts w:eastAsia="Calibri"/>
          <w:sz w:val="24"/>
          <w:szCs w:val="24"/>
        </w:rPr>
        <w:t>[#</w:t>
      </w:r>
      <w:proofErr w:type="gramStart"/>
      <w:r w:rsidR="00496006" w:rsidRPr="001B1DA7">
        <w:rPr>
          <w:rFonts w:eastAsia="Calibri"/>
          <w:sz w:val="24"/>
          <w:szCs w:val="24"/>
        </w:rPr>
        <w:t>]%</w:t>
      </w:r>
      <w:proofErr w:type="gramEnd"/>
      <w:r w:rsidR="00F011D1" w:rsidRPr="001B1DA7">
        <w:rPr>
          <w:rFonts w:eastAsia="Calibri"/>
          <w:sz w:val="24"/>
          <w:szCs w:val="24"/>
        </w:rPr>
        <w:t>.</w:t>
      </w:r>
    </w:p>
    <w:p w14:paraId="56D471D9" w14:textId="384F038F" w:rsidR="0014719F" w:rsidRPr="001B1DA7" w:rsidRDefault="00EB52B0" w:rsidP="00DF4ABA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Hydro units in [Assessment Area] follow a [describe sequence…e.g. 20% dispatch 80% remaining energy limited]. This is equivalent to </w:t>
      </w:r>
      <w:r w:rsidR="00BD7DB5" w:rsidRPr="001B1DA7">
        <w:rPr>
          <w:rFonts w:eastAsia="Calibri"/>
          <w:sz w:val="24"/>
          <w:szCs w:val="24"/>
        </w:rPr>
        <w:t>limit</w:t>
      </w:r>
      <w:r w:rsidR="00781370" w:rsidRPr="001B1DA7">
        <w:rPr>
          <w:rFonts w:eastAsia="Calibri"/>
          <w:sz w:val="24"/>
          <w:szCs w:val="24"/>
        </w:rPr>
        <w:t xml:space="preserve">ing hydro by   </w:t>
      </w:r>
      <w:r w:rsidR="00781370" w:rsidRPr="001B1DA7">
        <w:rPr>
          <w:rFonts w:eastAsia="Calibri" w:cs="Calibri"/>
          <w:sz w:val="24"/>
          <w:szCs w:val="24"/>
        </w:rPr>
        <w:t>̴</w:t>
      </w:r>
      <w:r w:rsidR="00781370" w:rsidRPr="001B1DA7">
        <w:rPr>
          <w:rFonts w:eastAsia="Calibri"/>
          <w:sz w:val="24"/>
          <w:szCs w:val="24"/>
        </w:rPr>
        <w:t xml:space="preserve"> </w:t>
      </w:r>
      <w:r w:rsidR="00764713" w:rsidRPr="001B1DA7">
        <w:rPr>
          <w:rFonts w:eastAsia="Calibri"/>
          <w:sz w:val="24"/>
          <w:szCs w:val="24"/>
        </w:rPr>
        <w:t>[#</w:t>
      </w:r>
      <w:proofErr w:type="gramStart"/>
      <w:r w:rsidR="00764713" w:rsidRPr="001B1DA7">
        <w:rPr>
          <w:rFonts w:eastAsia="Calibri"/>
          <w:sz w:val="24"/>
          <w:szCs w:val="24"/>
        </w:rPr>
        <w:t>]%</w:t>
      </w:r>
      <w:proofErr w:type="gramEnd"/>
      <w:r w:rsidR="00BD7DB5" w:rsidRPr="001B1DA7">
        <w:rPr>
          <w:rFonts w:eastAsia="Calibri"/>
          <w:sz w:val="24"/>
          <w:szCs w:val="24"/>
        </w:rPr>
        <w:t xml:space="preserve"> maximum annual output</w:t>
      </w:r>
      <w:r w:rsidR="00781370" w:rsidRPr="001B1DA7">
        <w:rPr>
          <w:rFonts w:eastAsia="Calibri"/>
          <w:sz w:val="24"/>
          <w:szCs w:val="24"/>
        </w:rPr>
        <w:t>.</w:t>
      </w:r>
    </w:p>
    <w:p w14:paraId="6DB4823C" w14:textId="6D32B2CE" w:rsidR="00282E6C" w:rsidRPr="001B1DA7" w:rsidRDefault="00EB52B0" w:rsidP="00DF4ABA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Variable energy resources (wind &amp; solar) in [Assessment Area]</w:t>
      </w:r>
      <w:r w:rsidR="007478B3" w:rsidRPr="001B1DA7">
        <w:rPr>
          <w:rFonts w:eastAsia="Calibri"/>
          <w:sz w:val="24"/>
          <w:szCs w:val="24"/>
        </w:rPr>
        <w:t xml:space="preserve"> </w:t>
      </w:r>
      <w:r w:rsidR="00764713" w:rsidRPr="001B1DA7">
        <w:rPr>
          <w:rFonts w:eastAsia="Calibri"/>
          <w:sz w:val="24"/>
          <w:szCs w:val="24"/>
        </w:rPr>
        <w:t>are</w:t>
      </w:r>
      <w:r w:rsidR="00E51669" w:rsidRPr="001B1DA7">
        <w:rPr>
          <w:rFonts w:eastAsia="Calibri"/>
          <w:sz w:val="24"/>
          <w:szCs w:val="24"/>
        </w:rPr>
        <w:t xml:space="preserve"> a </w:t>
      </w:r>
      <w:r w:rsidR="00781370" w:rsidRPr="001B1DA7">
        <w:rPr>
          <w:rFonts w:eastAsia="Calibri"/>
          <w:sz w:val="24"/>
          <w:szCs w:val="24"/>
        </w:rPr>
        <w:t>[</w:t>
      </w:r>
      <w:r w:rsidR="00E51669" w:rsidRPr="001B1DA7">
        <w:rPr>
          <w:rFonts w:eastAsia="Calibri"/>
          <w:sz w:val="24"/>
          <w:szCs w:val="24"/>
        </w:rPr>
        <w:t>load modifier</w:t>
      </w:r>
      <w:r w:rsidR="00781370" w:rsidRPr="001B1DA7">
        <w:rPr>
          <w:rFonts w:eastAsia="Calibri"/>
          <w:sz w:val="24"/>
          <w:szCs w:val="24"/>
        </w:rPr>
        <w:t xml:space="preserve"> or capacity resource]</w:t>
      </w:r>
      <w:r w:rsidR="00E51669" w:rsidRPr="001B1DA7">
        <w:rPr>
          <w:rFonts w:eastAsia="Calibri"/>
          <w:sz w:val="24"/>
          <w:szCs w:val="24"/>
        </w:rPr>
        <w:t xml:space="preserve"> and </w:t>
      </w:r>
      <w:r w:rsidR="00781370" w:rsidRPr="001B1DA7">
        <w:rPr>
          <w:rFonts w:eastAsia="Calibri"/>
          <w:sz w:val="24"/>
          <w:szCs w:val="24"/>
        </w:rPr>
        <w:t>[describe modeling sequence/approach]</w:t>
      </w:r>
      <w:r w:rsidR="007478B3" w:rsidRPr="001B1DA7">
        <w:rPr>
          <w:rFonts w:eastAsia="Calibri"/>
          <w:sz w:val="24"/>
          <w:szCs w:val="24"/>
        </w:rPr>
        <w:t xml:space="preserve">, which </w:t>
      </w:r>
      <w:r w:rsidR="00764713" w:rsidRPr="001B1DA7">
        <w:rPr>
          <w:rFonts w:eastAsia="Calibri"/>
          <w:sz w:val="24"/>
          <w:szCs w:val="24"/>
        </w:rPr>
        <w:t>is</w:t>
      </w:r>
      <w:r w:rsidR="005B15DF" w:rsidRPr="001B1DA7">
        <w:rPr>
          <w:rFonts w:eastAsia="Calibri"/>
          <w:sz w:val="24"/>
          <w:szCs w:val="24"/>
        </w:rPr>
        <w:t xml:space="preserve"> </w:t>
      </w:r>
      <w:r w:rsidR="00764713" w:rsidRPr="001B1DA7">
        <w:rPr>
          <w:rFonts w:eastAsia="Calibri"/>
          <w:sz w:val="24"/>
          <w:szCs w:val="24"/>
        </w:rPr>
        <w:t xml:space="preserve">   </w:t>
      </w:r>
      <w:proofErr w:type="gramStart"/>
      <w:r w:rsidR="00764713" w:rsidRPr="001B1DA7">
        <w:rPr>
          <w:rFonts w:eastAsia="Calibri" w:cs="Calibri"/>
          <w:sz w:val="24"/>
          <w:szCs w:val="24"/>
        </w:rPr>
        <w:t>̴</w:t>
      </w:r>
      <w:r w:rsidR="00764713" w:rsidRPr="001B1DA7">
        <w:rPr>
          <w:rFonts w:eastAsia="Calibri"/>
          <w:sz w:val="24"/>
          <w:szCs w:val="24"/>
        </w:rPr>
        <w:t xml:space="preserve"> </w:t>
      </w:r>
      <w:r w:rsidR="005B15DF" w:rsidRPr="001B1DA7">
        <w:rPr>
          <w:rFonts w:eastAsia="Calibri"/>
          <w:sz w:val="24"/>
          <w:szCs w:val="24"/>
        </w:rPr>
        <w:t xml:space="preserve"> </w:t>
      </w:r>
      <w:r w:rsidR="00764713" w:rsidRPr="001B1DA7">
        <w:rPr>
          <w:rFonts w:eastAsia="Calibri"/>
          <w:sz w:val="24"/>
          <w:szCs w:val="24"/>
        </w:rPr>
        <w:t>[</w:t>
      </w:r>
      <w:proofErr w:type="gramEnd"/>
      <w:r w:rsidR="00764713" w:rsidRPr="001B1DA7">
        <w:rPr>
          <w:rFonts w:eastAsia="Calibri"/>
          <w:sz w:val="24"/>
          <w:szCs w:val="24"/>
        </w:rPr>
        <w:t xml:space="preserve">#]% </w:t>
      </w:r>
      <w:r w:rsidR="005B15DF" w:rsidRPr="001B1DA7">
        <w:rPr>
          <w:rFonts w:eastAsia="Calibri"/>
          <w:sz w:val="24"/>
          <w:szCs w:val="24"/>
        </w:rPr>
        <w:t>capacity credit.</w:t>
      </w:r>
    </w:p>
    <w:p w14:paraId="1C58B338" w14:textId="54F16CE4" w:rsidR="005437ED" w:rsidRPr="001B1DA7" w:rsidRDefault="00783DEB" w:rsidP="004A1F69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[Other areas of interest]</w:t>
      </w:r>
    </w:p>
    <w:p w14:paraId="2E9BB32F" w14:textId="37C8DE5B" w:rsidR="009536A2" w:rsidRPr="001B1DA7" w:rsidRDefault="004858E7" w:rsidP="00A92C54">
      <w:pPr>
        <w:pStyle w:val="ListParagraph"/>
        <w:numPr>
          <w:ilvl w:val="0"/>
          <w:numId w:val="1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b/>
          <w:sz w:val="24"/>
          <w:szCs w:val="24"/>
        </w:rPr>
        <w:t>Probabilistic Vs. Deter</w:t>
      </w:r>
      <w:r w:rsidR="00CA2BAA" w:rsidRPr="001B1DA7">
        <w:rPr>
          <w:rFonts w:eastAsia="Calibri"/>
          <w:b/>
          <w:sz w:val="24"/>
          <w:szCs w:val="24"/>
        </w:rPr>
        <w:t>m</w:t>
      </w:r>
      <w:r w:rsidR="009536A2" w:rsidRPr="001B1DA7">
        <w:rPr>
          <w:rFonts w:eastAsia="Calibri"/>
          <w:b/>
          <w:sz w:val="24"/>
          <w:szCs w:val="24"/>
        </w:rPr>
        <w:t xml:space="preserve">inistic </w:t>
      </w:r>
      <w:r w:rsidR="00783DEB" w:rsidRPr="001B1DA7">
        <w:rPr>
          <w:rFonts w:eastAsia="Calibri"/>
          <w:b/>
          <w:sz w:val="24"/>
          <w:szCs w:val="24"/>
        </w:rPr>
        <w:t>Assessments</w:t>
      </w:r>
      <w:r w:rsidR="009536A2" w:rsidRPr="001B1DA7">
        <w:rPr>
          <w:rFonts w:eastAsia="Calibri"/>
          <w:b/>
          <w:sz w:val="24"/>
          <w:szCs w:val="24"/>
        </w:rPr>
        <w:t xml:space="preserve"> –</w:t>
      </w:r>
      <w:r w:rsidR="009536A2" w:rsidRPr="001B1DA7">
        <w:rPr>
          <w:rFonts w:eastAsia="Calibri"/>
          <w:sz w:val="24"/>
          <w:szCs w:val="24"/>
        </w:rPr>
        <w:t xml:space="preserve"> </w:t>
      </w:r>
      <w:r w:rsidR="00783DEB" w:rsidRPr="001B1DA7">
        <w:rPr>
          <w:rFonts w:eastAsia="Calibri"/>
          <w:sz w:val="24"/>
          <w:szCs w:val="24"/>
        </w:rPr>
        <w:t>Use this leading paragraph to explain high-level differences in addition to bulleted items below.</w:t>
      </w:r>
    </w:p>
    <w:p w14:paraId="7EE76B6E" w14:textId="421CB3B7" w:rsidR="009536A2" w:rsidRPr="001B1DA7" w:rsidRDefault="00376F86" w:rsidP="00A92C54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If applicable</w:t>
      </w:r>
      <w:r w:rsidR="00680BB1" w:rsidRPr="001B1DA7">
        <w:rPr>
          <w:rFonts w:eastAsia="Calibri"/>
          <w:sz w:val="24"/>
          <w:szCs w:val="24"/>
        </w:rPr>
        <w:t>,</w:t>
      </w:r>
      <w:r w:rsidRPr="001B1DA7">
        <w:rPr>
          <w:rFonts w:eastAsia="Calibri"/>
          <w:sz w:val="24"/>
          <w:szCs w:val="24"/>
        </w:rPr>
        <w:t xml:space="preserve"> differences in treatment of demand</w:t>
      </w:r>
    </w:p>
    <w:p w14:paraId="4CD46CC8" w14:textId="62275988" w:rsidR="00376F86" w:rsidRPr="001B1DA7" w:rsidRDefault="00376F86" w:rsidP="00A92C54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If applicable</w:t>
      </w:r>
      <w:r w:rsidR="00680BB1" w:rsidRPr="001B1DA7">
        <w:rPr>
          <w:rFonts w:eastAsia="Calibri"/>
          <w:sz w:val="24"/>
          <w:szCs w:val="24"/>
        </w:rPr>
        <w:t>,</w:t>
      </w:r>
      <w:r w:rsidRPr="001B1DA7">
        <w:rPr>
          <w:rFonts w:eastAsia="Calibri"/>
          <w:sz w:val="24"/>
          <w:szCs w:val="24"/>
        </w:rPr>
        <w:t xml:space="preserve"> differences in treatment of variable energy resources</w:t>
      </w:r>
    </w:p>
    <w:p w14:paraId="25576A40" w14:textId="1AA29F62" w:rsidR="00376F86" w:rsidRPr="001B1DA7" w:rsidRDefault="00376F86" w:rsidP="00A92C54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If applicable</w:t>
      </w:r>
      <w:r w:rsidR="00680BB1" w:rsidRPr="001B1DA7">
        <w:rPr>
          <w:rFonts w:eastAsia="Calibri"/>
          <w:sz w:val="24"/>
          <w:szCs w:val="24"/>
        </w:rPr>
        <w:t>,</w:t>
      </w:r>
      <w:r w:rsidRPr="001B1DA7">
        <w:rPr>
          <w:rFonts w:eastAsia="Calibri"/>
          <w:sz w:val="24"/>
          <w:szCs w:val="24"/>
        </w:rPr>
        <w:t xml:space="preserve"> differences in treatment of demand response</w:t>
      </w:r>
    </w:p>
    <w:p w14:paraId="142EA39B" w14:textId="6BC9386F" w:rsidR="00376F86" w:rsidRPr="001B1DA7" w:rsidRDefault="00376F86" w:rsidP="00A92C54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If applicable</w:t>
      </w:r>
      <w:r w:rsidR="00680BB1" w:rsidRPr="001B1DA7">
        <w:rPr>
          <w:rFonts w:eastAsia="Calibri"/>
          <w:sz w:val="24"/>
          <w:szCs w:val="24"/>
        </w:rPr>
        <w:t>,</w:t>
      </w:r>
      <w:r w:rsidRPr="001B1DA7">
        <w:rPr>
          <w:rFonts w:eastAsia="Calibri"/>
          <w:sz w:val="24"/>
          <w:szCs w:val="24"/>
        </w:rPr>
        <w:t xml:space="preserve"> differences in treatment of transmission constraints</w:t>
      </w:r>
    </w:p>
    <w:p w14:paraId="29086694" w14:textId="2186DF41" w:rsidR="00376F86" w:rsidRPr="001B1DA7" w:rsidRDefault="00376F86" w:rsidP="00A92C54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If applicable</w:t>
      </w:r>
      <w:r w:rsidR="00680BB1" w:rsidRPr="001B1DA7">
        <w:rPr>
          <w:rFonts w:eastAsia="Calibri"/>
          <w:sz w:val="24"/>
          <w:szCs w:val="24"/>
        </w:rPr>
        <w:t>,</w:t>
      </w:r>
      <w:r w:rsidRPr="001B1DA7">
        <w:rPr>
          <w:rFonts w:eastAsia="Calibri"/>
          <w:sz w:val="24"/>
          <w:szCs w:val="24"/>
        </w:rPr>
        <w:t xml:space="preserve"> differences in treatment of firm and non-firm capacity transactions</w:t>
      </w:r>
    </w:p>
    <w:p w14:paraId="276A03AF" w14:textId="7CB62B73" w:rsidR="00376F86" w:rsidRPr="001B1DA7" w:rsidRDefault="00D35B22" w:rsidP="00A92C54">
      <w:pPr>
        <w:pStyle w:val="ListParagraph"/>
        <w:numPr>
          <w:ilvl w:val="1"/>
          <w:numId w:val="1"/>
        </w:numPr>
        <w:spacing w:before="120"/>
        <w:ind w:left="108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[</w:t>
      </w:r>
      <w:r w:rsidR="00376F86" w:rsidRPr="001B1DA7">
        <w:rPr>
          <w:rFonts w:eastAsia="Calibri"/>
          <w:sz w:val="24"/>
          <w:szCs w:val="24"/>
        </w:rPr>
        <w:t>Other areas of interest</w:t>
      </w:r>
      <w:r w:rsidRPr="001B1DA7">
        <w:rPr>
          <w:rFonts w:eastAsia="Calibri"/>
          <w:sz w:val="24"/>
          <w:szCs w:val="24"/>
        </w:rPr>
        <w:t>]</w:t>
      </w:r>
    </w:p>
    <w:p w14:paraId="61B43F97" w14:textId="0026461F" w:rsidR="003A67AA" w:rsidRDefault="003A67AA" w:rsidP="003A67AA">
      <w:pPr>
        <w:rPr>
          <w:rFonts w:eastAsia="Calibri"/>
          <w:sz w:val="24"/>
          <w:szCs w:val="24"/>
        </w:rPr>
      </w:pPr>
    </w:p>
    <w:p w14:paraId="575CC71C" w14:textId="1D4F71B0" w:rsidR="001B1DA7" w:rsidRDefault="001B1DA7" w:rsidP="003A67AA">
      <w:pPr>
        <w:rPr>
          <w:rFonts w:eastAsia="Calibri"/>
          <w:sz w:val="24"/>
          <w:szCs w:val="24"/>
        </w:rPr>
      </w:pPr>
    </w:p>
    <w:p w14:paraId="0BC9401D" w14:textId="42AD3D7A" w:rsidR="001B1DA7" w:rsidRDefault="001B1DA7" w:rsidP="003A67AA">
      <w:pPr>
        <w:rPr>
          <w:rFonts w:eastAsia="Calibri"/>
          <w:sz w:val="24"/>
          <w:szCs w:val="24"/>
        </w:rPr>
      </w:pPr>
    </w:p>
    <w:p w14:paraId="0B1C39DB" w14:textId="54E43371" w:rsidR="001B1DA7" w:rsidRDefault="001B1DA7" w:rsidP="003A67AA">
      <w:pPr>
        <w:rPr>
          <w:rFonts w:eastAsia="Calibri"/>
          <w:sz w:val="24"/>
          <w:szCs w:val="24"/>
        </w:rPr>
      </w:pPr>
    </w:p>
    <w:p w14:paraId="51964852" w14:textId="0D615C91" w:rsidR="001B1DA7" w:rsidRDefault="001B1DA7" w:rsidP="003A67AA">
      <w:pPr>
        <w:rPr>
          <w:rFonts w:eastAsia="Calibri"/>
          <w:sz w:val="24"/>
          <w:szCs w:val="24"/>
        </w:rPr>
      </w:pPr>
    </w:p>
    <w:p w14:paraId="6B28D3EE" w14:textId="18574694" w:rsidR="001B1DA7" w:rsidRDefault="001B1DA7" w:rsidP="003A67AA">
      <w:pPr>
        <w:rPr>
          <w:rFonts w:eastAsia="Calibri"/>
          <w:sz w:val="24"/>
          <w:szCs w:val="24"/>
        </w:rPr>
      </w:pPr>
    </w:p>
    <w:p w14:paraId="673B4BA5" w14:textId="68D1D567" w:rsidR="001B1DA7" w:rsidRDefault="001B1DA7" w:rsidP="003A67AA">
      <w:pPr>
        <w:rPr>
          <w:rFonts w:eastAsia="Calibri"/>
          <w:sz w:val="24"/>
          <w:szCs w:val="24"/>
        </w:rPr>
      </w:pPr>
    </w:p>
    <w:p w14:paraId="5D39909A" w14:textId="046D4DE6" w:rsidR="001B1DA7" w:rsidRPr="001B1DA7" w:rsidRDefault="001B1DA7" w:rsidP="003A67AA">
      <w:pPr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XSpec="right" w:tblpY="106"/>
        <w:tblW w:w="2451" w:type="pct"/>
        <w:tblBorders>
          <w:top w:val="single" w:sz="4" w:space="0" w:color="5D85A9"/>
          <w:bottom w:val="single" w:sz="4" w:space="0" w:color="5D85A9"/>
          <w:insideH w:val="single" w:sz="4" w:space="0" w:color="5D85A9"/>
          <w:insideV w:val="single" w:sz="4" w:space="0" w:color="5D85A9"/>
        </w:tblBorders>
        <w:tblLook w:val="04A0" w:firstRow="1" w:lastRow="0" w:firstColumn="1" w:lastColumn="0" w:noHBand="0" w:noVBand="1"/>
      </w:tblPr>
      <w:tblGrid>
        <w:gridCol w:w="2658"/>
        <w:gridCol w:w="823"/>
        <w:gridCol w:w="703"/>
        <w:gridCol w:w="703"/>
      </w:tblGrid>
      <w:tr w:rsidR="0079572A" w:rsidRPr="001B1DA7" w14:paraId="555A4A66" w14:textId="77777777" w:rsidTr="0079572A">
        <w:trPr>
          <w:trHeight w:val="22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14:paraId="344EFD5B" w14:textId="03E509B1" w:rsidR="0079572A" w:rsidRPr="001B1DA7" w:rsidRDefault="0079572A" w:rsidP="0079572A">
            <w:pPr>
              <w:ind w:right="-1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lastRenderedPageBreak/>
              <w:t>Base Case Summary of Results</w:t>
            </w:r>
          </w:p>
        </w:tc>
      </w:tr>
      <w:tr w:rsidR="0079572A" w:rsidRPr="001B1DA7" w14:paraId="6CD21BD2" w14:textId="77777777" w:rsidTr="0079572A">
        <w:trPr>
          <w:trHeight w:val="22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14:paraId="1E242CA9" w14:textId="5E9D6838" w:rsidR="0079572A" w:rsidRPr="001B1DA7" w:rsidRDefault="0079572A" w:rsidP="0079572A">
            <w:pPr>
              <w:ind w:right="-1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Reserve Margin (RM) %</w:t>
            </w:r>
          </w:p>
        </w:tc>
      </w:tr>
      <w:tr w:rsidR="00833158" w:rsidRPr="001B1DA7" w14:paraId="4A40131C" w14:textId="77777777" w:rsidTr="0079572A">
        <w:trPr>
          <w:trHeight w:val="22"/>
        </w:trPr>
        <w:tc>
          <w:tcPr>
            <w:tcW w:w="2810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1608" w14:textId="77777777" w:rsidR="00833158" w:rsidRPr="001B1DA7" w:rsidRDefault="00833158" w:rsidP="00A7267F">
            <w:pPr>
              <w:ind w:right="-198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DEEAF6" w:themeFill="accent1" w:themeFillTint="33"/>
          </w:tcPr>
          <w:p w14:paraId="62F0A548" w14:textId="627E6B17" w:rsidR="00833158" w:rsidRPr="001B1DA7" w:rsidRDefault="00833158" w:rsidP="009964F9">
            <w:pPr>
              <w:ind w:right="-198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202</w:t>
            </w:r>
            <w:r w:rsidR="009964F9" w:rsidRPr="001B1DA7">
              <w:rPr>
                <w:rFonts w:eastAsia="Calibri"/>
                <w:b/>
                <w:sz w:val="24"/>
                <w:szCs w:val="24"/>
              </w:rPr>
              <w:t>2</w:t>
            </w:r>
            <w:r w:rsidRPr="001B1DA7"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730" w:type="pct"/>
            <w:tcBorders>
              <w:right w:val="nil"/>
            </w:tcBorders>
            <w:shd w:val="clear" w:color="auto" w:fill="DEEAF6" w:themeFill="accent1" w:themeFillTint="33"/>
          </w:tcPr>
          <w:p w14:paraId="7A0DE8BA" w14:textId="013B02D8" w:rsidR="00833158" w:rsidRPr="001B1DA7" w:rsidRDefault="00833158" w:rsidP="009964F9">
            <w:pPr>
              <w:ind w:right="-198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202</w:t>
            </w:r>
            <w:r w:rsidR="009964F9" w:rsidRPr="001B1DA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right w:val="nil"/>
            </w:tcBorders>
            <w:shd w:val="clear" w:color="auto" w:fill="DEEAF6" w:themeFill="accent1" w:themeFillTint="33"/>
          </w:tcPr>
          <w:p w14:paraId="02A60DC7" w14:textId="1BC81566" w:rsidR="00833158" w:rsidRPr="001B1DA7" w:rsidRDefault="00833158" w:rsidP="0079572A">
            <w:pPr>
              <w:ind w:right="-198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202</w:t>
            </w:r>
            <w:r w:rsidR="009964F9" w:rsidRPr="001B1DA7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833158" w:rsidRPr="001B1DA7" w14:paraId="3FD396CF" w14:textId="77777777" w:rsidTr="0079572A">
        <w:trPr>
          <w:trHeight w:val="22"/>
        </w:trPr>
        <w:tc>
          <w:tcPr>
            <w:tcW w:w="2810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9FC9B" w14:textId="570E2511" w:rsidR="00833158" w:rsidRPr="001B1DA7" w:rsidRDefault="00833158" w:rsidP="00E51669">
            <w:pPr>
              <w:ind w:right="-198"/>
              <w:jc w:val="left"/>
              <w:rPr>
                <w:rFonts w:eastAsia="Calibri"/>
                <w:sz w:val="24"/>
                <w:szCs w:val="24"/>
              </w:rPr>
            </w:pPr>
            <w:r w:rsidRPr="001B1DA7">
              <w:rPr>
                <w:rFonts w:eastAsia="Calibri"/>
                <w:sz w:val="24"/>
                <w:szCs w:val="24"/>
              </w:rPr>
              <w:t>Anticipated</w:t>
            </w:r>
          </w:p>
        </w:tc>
        <w:tc>
          <w:tcPr>
            <w:tcW w:w="731" w:type="pct"/>
          </w:tcPr>
          <w:p w14:paraId="696484CE" w14:textId="6197DF05" w:rsidR="00833158" w:rsidRPr="001B1DA7" w:rsidRDefault="00783DEB" w:rsidP="0079572A">
            <w:pPr>
              <w:ind w:right="-19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</w:t>
            </w:r>
            <w:r w:rsidR="00496006" w:rsidRPr="001B1DA7">
              <w:rPr>
                <w:rFonts w:cs="Calibri"/>
                <w:b/>
                <w:color w:val="000000"/>
                <w:sz w:val="24"/>
                <w:szCs w:val="24"/>
              </w:rPr>
              <w:t>.</w:t>
            </w: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</w:t>
            </w:r>
            <w:r w:rsidR="00496006" w:rsidRPr="001B1DA7">
              <w:rPr>
                <w:rFonts w:cs="Calibri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30" w:type="pct"/>
            <w:tcBorders>
              <w:right w:val="nil"/>
            </w:tcBorders>
            <w:vAlign w:val="bottom"/>
          </w:tcPr>
          <w:p w14:paraId="40CC7B35" w14:textId="51FCF0C8" w:rsidR="00833158" w:rsidRPr="001B1DA7" w:rsidRDefault="00783DEB" w:rsidP="0079572A">
            <w:pPr>
              <w:ind w:right="-1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#.#%</w:t>
            </w:r>
          </w:p>
        </w:tc>
        <w:tc>
          <w:tcPr>
            <w:tcW w:w="729" w:type="pct"/>
            <w:tcBorders>
              <w:right w:val="nil"/>
            </w:tcBorders>
            <w:vAlign w:val="bottom"/>
          </w:tcPr>
          <w:p w14:paraId="7F9F833B" w14:textId="051ACBDA" w:rsidR="00833158" w:rsidRPr="001B1DA7" w:rsidRDefault="00783DEB" w:rsidP="0079572A">
            <w:pPr>
              <w:ind w:right="-1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#.#%</w:t>
            </w:r>
          </w:p>
        </w:tc>
      </w:tr>
      <w:tr w:rsidR="00833158" w:rsidRPr="001B1DA7" w14:paraId="6878D6DF" w14:textId="77777777" w:rsidTr="0079572A">
        <w:trPr>
          <w:trHeight w:val="22"/>
        </w:trPr>
        <w:tc>
          <w:tcPr>
            <w:tcW w:w="2810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6536" w14:textId="77777777" w:rsidR="00833158" w:rsidRPr="001B1DA7" w:rsidRDefault="00833158" w:rsidP="00E51669">
            <w:pPr>
              <w:ind w:right="-198"/>
              <w:jc w:val="left"/>
              <w:rPr>
                <w:rFonts w:eastAsia="Calibri"/>
                <w:sz w:val="24"/>
                <w:szCs w:val="24"/>
              </w:rPr>
            </w:pPr>
            <w:r w:rsidRPr="001B1DA7">
              <w:rPr>
                <w:rFonts w:eastAsia="Calibri"/>
                <w:sz w:val="24"/>
                <w:szCs w:val="24"/>
              </w:rPr>
              <w:t xml:space="preserve">Reference </w:t>
            </w:r>
          </w:p>
        </w:tc>
        <w:tc>
          <w:tcPr>
            <w:tcW w:w="731" w:type="pct"/>
          </w:tcPr>
          <w:p w14:paraId="6D138857" w14:textId="74532E9A" w:rsidR="00833158" w:rsidRPr="001B1DA7" w:rsidRDefault="00783DEB" w:rsidP="0079572A">
            <w:pPr>
              <w:ind w:right="-1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#.#%</w:t>
            </w:r>
          </w:p>
        </w:tc>
        <w:tc>
          <w:tcPr>
            <w:tcW w:w="730" w:type="pct"/>
            <w:tcBorders>
              <w:right w:val="nil"/>
            </w:tcBorders>
          </w:tcPr>
          <w:p w14:paraId="0CD5A203" w14:textId="635C5AB0" w:rsidR="00833158" w:rsidRPr="001B1DA7" w:rsidRDefault="00783DEB" w:rsidP="0079572A">
            <w:pPr>
              <w:ind w:right="-1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#.#%</w:t>
            </w:r>
          </w:p>
        </w:tc>
        <w:tc>
          <w:tcPr>
            <w:tcW w:w="729" w:type="pct"/>
            <w:tcBorders>
              <w:right w:val="nil"/>
            </w:tcBorders>
          </w:tcPr>
          <w:p w14:paraId="7AB4F4F3" w14:textId="23AC9944" w:rsidR="00833158" w:rsidRPr="001B1DA7" w:rsidRDefault="00783DEB" w:rsidP="0079572A">
            <w:pPr>
              <w:ind w:right="-1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#.#%</w:t>
            </w:r>
          </w:p>
        </w:tc>
      </w:tr>
      <w:tr w:rsidR="00833158" w:rsidRPr="001B1DA7" w14:paraId="28AB5137" w14:textId="77777777" w:rsidTr="0079572A">
        <w:trPr>
          <w:trHeight w:val="22"/>
        </w:trPr>
        <w:tc>
          <w:tcPr>
            <w:tcW w:w="2810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82B27" w14:textId="77777777" w:rsidR="00833158" w:rsidRPr="001B1DA7" w:rsidRDefault="00833158" w:rsidP="00E51669">
            <w:pPr>
              <w:ind w:right="-198"/>
              <w:jc w:val="left"/>
              <w:rPr>
                <w:rFonts w:eastAsia="Calibri"/>
                <w:sz w:val="24"/>
                <w:szCs w:val="24"/>
              </w:rPr>
            </w:pPr>
            <w:r w:rsidRPr="001B1DA7">
              <w:rPr>
                <w:rFonts w:eastAsia="Calibri"/>
                <w:sz w:val="24"/>
                <w:szCs w:val="24"/>
              </w:rPr>
              <w:t xml:space="preserve">ProbA Forecast Operable </w:t>
            </w:r>
          </w:p>
        </w:tc>
        <w:tc>
          <w:tcPr>
            <w:tcW w:w="731" w:type="pct"/>
          </w:tcPr>
          <w:p w14:paraId="54BB51BA" w14:textId="7410CDB1" w:rsidR="00833158" w:rsidRPr="001B1DA7" w:rsidRDefault="00783DEB" w:rsidP="0079572A">
            <w:pPr>
              <w:ind w:right="-198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#.#%</w:t>
            </w:r>
          </w:p>
        </w:tc>
        <w:tc>
          <w:tcPr>
            <w:tcW w:w="730" w:type="pct"/>
            <w:tcBorders>
              <w:right w:val="nil"/>
            </w:tcBorders>
            <w:shd w:val="clear" w:color="auto" w:fill="auto"/>
            <w:vAlign w:val="bottom"/>
          </w:tcPr>
          <w:p w14:paraId="6F2C6B9B" w14:textId="5076FA5E" w:rsidR="00833158" w:rsidRPr="001B1DA7" w:rsidRDefault="00783DEB" w:rsidP="0079572A">
            <w:pPr>
              <w:ind w:right="-1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#.#%</w:t>
            </w:r>
          </w:p>
        </w:tc>
        <w:tc>
          <w:tcPr>
            <w:tcW w:w="729" w:type="pct"/>
            <w:tcBorders>
              <w:right w:val="nil"/>
            </w:tcBorders>
            <w:shd w:val="clear" w:color="auto" w:fill="auto"/>
            <w:vAlign w:val="bottom"/>
          </w:tcPr>
          <w:p w14:paraId="1628FD7E" w14:textId="7EA56ABE" w:rsidR="00833158" w:rsidRPr="001B1DA7" w:rsidRDefault="00783DEB" w:rsidP="0079572A">
            <w:pPr>
              <w:ind w:right="-19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cs="Calibri"/>
                <w:b/>
                <w:color w:val="000000"/>
                <w:sz w:val="24"/>
                <w:szCs w:val="24"/>
              </w:rPr>
              <w:t>#.#%</w:t>
            </w:r>
          </w:p>
        </w:tc>
      </w:tr>
      <w:tr w:rsidR="0079572A" w:rsidRPr="001B1DA7" w14:paraId="07C0A205" w14:textId="77777777" w:rsidTr="0079572A">
        <w:trPr>
          <w:trHeight w:val="22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noWrap/>
            <w:vAlign w:val="center"/>
          </w:tcPr>
          <w:p w14:paraId="6F6EC676" w14:textId="0340ADDE" w:rsidR="0079572A" w:rsidRPr="001B1DA7" w:rsidRDefault="0079572A" w:rsidP="0079572A">
            <w:pPr>
              <w:jc w:val="center"/>
              <w:rPr>
                <w:rFonts w:eastAsia="Calibri"/>
                <w:b/>
                <w:color w:val="1F497D"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Annual Probabilistic Indices</w:t>
            </w:r>
          </w:p>
        </w:tc>
      </w:tr>
      <w:tr w:rsidR="00833158" w:rsidRPr="001B1DA7" w14:paraId="09606B9C" w14:textId="77777777" w:rsidTr="0079572A">
        <w:trPr>
          <w:trHeight w:val="22"/>
        </w:trPr>
        <w:tc>
          <w:tcPr>
            <w:tcW w:w="2810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5DED3" w14:textId="77777777" w:rsidR="00833158" w:rsidRPr="001B1DA7" w:rsidRDefault="00833158" w:rsidP="00E5166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31" w:type="pct"/>
            <w:tcBorders>
              <w:bottom w:val="nil"/>
            </w:tcBorders>
            <w:shd w:val="clear" w:color="auto" w:fill="DEEAF6" w:themeFill="accent1" w:themeFillTint="33"/>
          </w:tcPr>
          <w:p w14:paraId="63FDA821" w14:textId="65E9ADA3" w:rsidR="00833158" w:rsidRPr="001B1DA7" w:rsidRDefault="0079572A" w:rsidP="009964F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202</w:t>
            </w:r>
            <w:r w:rsidR="009964F9" w:rsidRPr="001B1DA7">
              <w:rPr>
                <w:rFonts w:eastAsia="Calibri"/>
                <w:b/>
                <w:sz w:val="24"/>
                <w:szCs w:val="24"/>
              </w:rPr>
              <w:t>2</w:t>
            </w:r>
            <w:r w:rsidRPr="001B1DA7">
              <w:rPr>
                <w:rFonts w:eastAsia="Calibri"/>
                <w:b/>
                <w:sz w:val="24"/>
                <w:szCs w:val="24"/>
              </w:rPr>
              <w:t>*</w:t>
            </w:r>
          </w:p>
        </w:tc>
        <w:tc>
          <w:tcPr>
            <w:tcW w:w="730" w:type="pc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1951F882" w14:textId="52FEEADA" w:rsidR="00833158" w:rsidRPr="001B1DA7" w:rsidRDefault="00833158" w:rsidP="009964F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202</w:t>
            </w:r>
            <w:r w:rsidR="009964F9" w:rsidRPr="001B1DA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14:paraId="78B75203" w14:textId="35E2CB34" w:rsidR="00833158" w:rsidRPr="001B1DA7" w:rsidRDefault="00833158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202</w:t>
            </w:r>
            <w:r w:rsidR="009964F9" w:rsidRPr="001B1DA7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833158" w:rsidRPr="001B1DA7" w14:paraId="08080348" w14:textId="77777777" w:rsidTr="0079572A">
        <w:trPr>
          <w:trHeight w:val="22"/>
        </w:trPr>
        <w:tc>
          <w:tcPr>
            <w:tcW w:w="2810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CE642" w14:textId="77777777" w:rsidR="00833158" w:rsidRPr="001B1DA7" w:rsidRDefault="00833158" w:rsidP="00E51669">
            <w:pPr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sz w:val="24"/>
                <w:szCs w:val="24"/>
              </w:rPr>
              <w:t>EUE (MWh)</w:t>
            </w:r>
          </w:p>
        </w:tc>
        <w:tc>
          <w:tcPr>
            <w:tcW w:w="731" w:type="pct"/>
          </w:tcPr>
          <w:p w14:paraId="360A05C3" w14:textId="7D0C8B34" w:rsidR="00833158" w:rsidRPr="001B1DA7" w:rsidRDefault="00783DEB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#.##</w:t>
            </w:r>
          </w:p>
        </w:tc>
        <w:tc>
          <w:tcPr>
            <w:tcW w:w="730" w:type="pct"/>
            <w:tcBorders>
              <w:right w:val="nil"/>
            </w:tcBorders>
          </w:tcPr>
          <w:p w14:paraId="30EA60B9" w14:textId="4B41C77E" w:rsidR="00833158" w:rsidRPr="001B1DA7" w:rsidRDefault="00783DEB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#.##</w:t>
            </w:r>
          </w:p>
        </w:tc>
        <w:tc>
          <w:tcPr>
            <w:tcW w:w="729" w:type="pct"/>
            <w:tcBorders>
              <w:right w:val="nil"/>
            </w:tcBorders>
          </w:tcPr>
          <w:p w14:paraId="2A8D5E84" w14:textId="2E802929" w:rsidR="00833158" w:rsidRPr="001B1DA7" w:rsidRDefault="00783DEB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#.##</w:t>
            </w:r>
          </w:p>
        </w:tc>
      </w:tr>
      <w:tr w:rsidR="00833158" w:rsidRPr="001B1DA7" w14:paraId="76C1C745" w14:textId="77777777" w:rsidTr="0079572A">
        <w:trPr>
          <w:trHeight w:val="22"/>
        </w:trPr>
        <w:tc>
          <w:tcPr>
            <w:tcW w:w="2810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28C64" w14:textId="77777777" w:rsidR="00833158" w:rsidRPr="001B1DA7" w:rsidRDefault="00833158" w:rsidP="00E51669">
            <w:pPr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sz w:val="24"/>
                <w:szCs w:val="24"/>
              </w:rPr>
              <w:t>EUE (ppm)</w:t>
            </w:r>
          </w:p>
        </w:tc>
        <w:tc>
          <w:tcPr>
            <w:tcW w:w="731" w:type="pct"/>
            <w:tcBorders>
              <w:bottom w:val="nil"/>
            </w:tcBorders>
          </w:tcPr>
          <w:p w14:paraId="4753F441" w14:textId="1BFC51F5" w:rsidR="00833158" w:rsidRPr="001B1DA7" w:rsidRDefault="00783DEB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#.##</w:t>
            </w:r>
          </w:p>
        </w:tc>
        <w:tc>
          <w:tcPr>
            <w:tcW w:w="730" w:type="pct"/>
            <w:tcBorders>
              <w:bottom w:val="nil"/>
              <w:right w:val="nil"/>
            </w:tcBorders>
            <w:shd w:val="clear" w:color="auto" w:fill="auto"/>
          </w:tcPr>
          <w:p w14:paraId="6380AABF" w14:textId="76A64323" w:rsidR="00833158" w:rsidRPr="001B1DA7" w:rsidRDefault="00783DEB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#.##</w:t>
            </w:r>
          </w:p>
        </w:tc>
        <w:tc>
          <w:tcPr>
            <w:tcW w:w="729" w:type="pct"/>
            <w:tcBorders>
              <w:bottom w:val="nil"/>
              <w:right w:val="nil"/>
            </w:tcBorders>
            <w:shd w:val="clear" w:color="auto" w:fill="auto"/>
          </w:tcPr>
          <w:p w14:paraId="5A235A18" w14:textId="0737B5E3" w:rsidR="00833158" w:rsidRPr="001B1DA7" w:rsidRDefault="00783DEB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#.##</w:t>
            </w:r>
          </w:p>
        </w:tc>
      </w:tr>
      <w:tr w:rsidR="00833158" w:rsidRPr="001B1DA7" w14:paraId="784997AA" w14:textId="77777777" w:rsidTr="0079572A">
        <w:trPr>
          <w:trHeight w:val="22"/>
        </w:trPr>
        <w:tc>
          <w:tcPr>
            <w:tcW w:w="2810" w:type="pct"/>
            <w:tcBorders>
              <w:right w:val="nil"/>
            </w:tcBorders>
            <w:shd w:val="clear" w:color="auto" w:fill="auto"/>
            <w:noWrap/>
            <w:vAlign w:val="center"/>
          </w:tcPr>
          <w:p w14:paraId="03069B14" w14:textId="77777777" w:rsidR="00833158" w:rsidRPr="001B1DA7" w:rsidRDefault="00833158" w:rsidP="00E51669">
            <w:pPr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sz w:val="24"/>
                <w:szCs w:val="24"/>
              </w:rPr>
              <w:t>LOLH (hours/year)</w:t>
            </w:r>
          </w:p>
        </w:tc>
        <w:tc>
          <w:tcPr>
            <w:tcW w:w="731" w:type="pct"/>
          </w:tcPr>
          <w:p w14:paraId="52C919F6" w14:textId="13ED91BA" w:rsidR="00833158" w:rsidRPr="001B1DA7" w:rsidRDefault="00783DEB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#.##</w:t>
            </w:r>
          </w:p>
        </w:tc>
        <w:tc>
          <w:tcPr>
            <w:tcW w:w="730" w:type="pct"/>
            <w:tcBorders>
              <w:right w:val="nil"/>
            </w:tcBorders>
          </w:tcPr>
          <w:p w14:paraId="2F780F3B" w14:textId="43048C74" w:rsidR="00833158" w:rsidRPr="001B1DA7" w:rsidRDefault="00783DEB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#.##</w:t>
            </w:r>
          </w:p>
        </w:tc>
        <w:tc>
          <w:tcPr>
            <w:tcW w:w="729" w:type="pct"/>
            <w:tcBorders>
              <w:right w:val="nil"/>
            </w:tcBorders>
          </w:tcPr>
          <w:p w14:paraId="2BED106C" w14:textId="5E739A26" w:rsidR="00833158" w:rsidRPr="001B1DA7" w:rsidRDefault="00783DEB" w:rsidP="007957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1DA7">
              <w:rPr>
                <w:rFonts w:eastAsia="Calibri"/>
                <w:b/>
                <w:sz w:val="24"/>
                <w:szCs w:val="24"/>
              </w:rPr>
              <w:t>#.##</w:t>
            </w:r>
          </w:p>
        </w:tc>
      </w:tr>
    </w:tbl>
    <w:p w14:paraId="3A4C5350" w14:textId="77777777" w:rsidR="003A67AA" w:rsidRPr="001B1DA7" w:rsidRDefault="003A67AA" w:rsidP="003A67AA">
      <w:pPr>
        <w:keepNext/>
        <w:pBdr>
          <w:bottom w:val="single" w:sz="4" w:space="1" w:color="5D85A9"/>
        </w:pBdr>
        <w:rPr>
          <w:rFonts w:eastAsia="Calibri"/>
          <w:b/>
          <w:color w:val="1F497D"/>
          <w:sz w:val="24"/>
          <w:szCs w:val="24"/>
        </w:rPr>
      </w:pPr>
      <w:r w:rsidRPr="001B1DA7">
        <w:rPr>
          <w:rFonts w:eastAsia="Calibri"/>
          <w:b/>
          <w:color w:val="1F497D"/>
          <w:sz w:val="24"/>
          <w:szCs w:val="24"/>
        </w:rPr>
        <w:t xml:space="preserve"> Base Case Study</w:t>
      </w:r>
    </w:p>
    <w:p w14:paraId="2DFCA64D" w14:textId="36F038F6" w:rsidR="003A67AA" w:rsidRPr="001B1DA7" w:rsidRDefault="0079572A" w:rsidP="00A92C54">
      <w:pPr>
        <w:pStyle w:val="ListParagraph"/>
        <w:numPr>
          <w:ilvl w:val="0"/>
          <w:numId w:val="1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Use this space to describe </w:t>
      </w:r>
      <w:r w:rsidR="002B54E4" w:rsidRPr="001B1DA7">
        <w:rPr>
          <w:rFonts w:eastAsia="Calibri"/>
          <w:sz w:val="24"/>
          <w:szCs w:val="24"/>
          <w:highlight w:val="yellow"/>
        </w:rPr>
        <w:t>B</w:t>
      </w:r>
      <w:r w:rsidR="002B54E4" w:rsidRPr="001B1DA7">
        <w:rPr>
          <w:rFonts w:eastAsia="Calibri"/>
          <w:sz w:val="24"/>
          <w:szCs w:val="24"/>
        </w:rPr>
        <w:t xml:space="preserve">ase </w:t>
      </w:r>
      <w:r w:rsidR="002B54E4" w:rsidRPr="001B1DA7">
        <w:rPr>
          <w:rFonts w:eastAsia="Calibri"/>
          <w:sz w:val="24"/>
          <w:szCs w:val="24"/>
          <w:highlight w:val="yellow"/>
        </w:rPr>
        <w:t>C</w:t>
      </w:r>
      <w:r w:rsidR="002B54E4" w:rsidRPr="001B1DA7">
        <w:rPr>
          <w:rFonts w:eastAsia="Calibri"/>
          <w:sz w:val="24"/>
          <w:szCs w:val="24"/>
        </w:rPr>
        <w:t xml:space="preserve">ase </w:t>
      </w:r>
      <w:r w:rsidRPr="001B1DA7">
        <w:rPr>
          <w:rFonts w:eastAsia="Calibri"/>
          <w:sz w:val="24"/>
          <w:szCs w:val="24"/>
        </w:rPr>
        <w:t>results in more detail than overview section</w:t>
      </w:r>
      <w:r w:rsidR="002B54E4" w:rsidRPr="001B1DA7">
        <w:rPr>
          <w:rFonts w:eastAsia="Calibri"/>
          <w:sz w:val="24"/>
          <w:szCs w:val="24"/>
        </w:rPr>
        <w:t>.</w:t>
      </w:r>
    </w:p>
    <w:p w14:paraId="5268C1C0" w14:textId="1608149E" w:rsidR="004A1F69" w:rsidRPr="001B1DA7" w:rsidRDefault="004A1F69" w:rsidP="00A92C54">
      <w:pPr>
        <w:pStyle w:val="ListParagraph"/>
        <w:numPr>
          <w:ilvl w:val="0"/>
          <w:numId w:val="1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Results trending – Use this section to provide </w:t>
      </w:r>
      <w:r w:rsidR="00195159" w:rsidRPr="001B1DA7">
        <w:rPr>
          <w:rFonts w:eastAsia="Calibri"/>
          <w:sz w:val="24"/>
          <w:szCs w:val="24"/>
        </w:rPr>
        <w:t xml:space="preserve">an </w:t>
      </w:r>
      <w:r w:rsidRPr="001B1DA7">
        <w:rPr>
          <w:rFonts w:eastAsia="Calibri"/>
          <w:sz w:val="24"/>
          <w:szCs w:val="24"/>
        </w:rPr>
        <w:t xml:space="preserve">explanation of </w:t>
      </w:r>
      <w:r w:rsidR="00195159" w:rsidRPr="001B1DA7">
        <w:rPr>
          <w:rFonts w:eastAsia="Calibri"/>
          <w:sz w:val="24"/>
          <w:szCs w:val="24"/>
        </w:rPr>
        <w:t xml:space="preserve">results </w:t>
      </w:r>
      <w:r w:rsidRPr="001B1DA7">
        <w:rPr>
          <w:rFonts w:eastAsia="Calibri"/>
          <w:sz w:val="24"/>
          <w:szCs w:val="24"/>
        </w:rPr>
        <w:t>changes from 201</w:t>
      </w:r>
      <w:r w:rsidR="009964F9" w:rsidRPr="001B1DA7">
        <w:rPr>
          <w:rFonts w:eastAsia="Calibri"/>
          <w:sz w:val="24"/>
          <w:szCs w:val="24"/>
        </w:rPr>
        <w:t>8</w:t>
      </w:r>
      <w:r w:rsidR="00FC16F5" w:rsidRPr="001B1DA7">
        <w:rPr>
          <w:rFonts w:eastAsia="Calibri"/>
          <w:sz w:val="24"/>
          <w:szCs w:val="24"/>
        </w:rPr>
        <w:t xml:space="preserve"> to 2020</w:t>
      </w:r>
      <w:r w:rsidRPr="001B1DA7">
        <w:rPr>
          <w:rFonts w:eastAsia="Calibri"/>
          <w:sz w:val="24"/>
          <w:szCs w:val="24"/>
        </w:rPr>
        <w:t>.</w:t>
      </w:r>
    </w:p>
    <w:p w14:paraId="432B2CE8" w14:textId="0BE2355F" w:rsidR="00703ED6" w:rsidRPr="001B1DA7" w:rsidRDefault="00703ED6" w:rsidP="003A67AA">
      <w:pPr>
        <w:spacing w:before="120"/>
        <w:rPr>
          <w:rFonts w:eastAsia="Calibri"/>
          <w:b/>
          <w:sz w:val="24"/>
          <w:szCs w:val="24"/>
        </w:rPr>
      </w:pPr>
    </w:p>
    <w:p w14:paraId="1951632F" w14:textId="77777777" w:rsidR="001B1DA7" w:rsidRDefault="001B1DA7" w:rsidP="00D86849">
      <w:pPr>
        <w:spacing w:before="120"/>
        <w:rPr>
          <w:rFonts w:eastAsia="Calibri"/>
          <w:b/>
          <w:sz w:val="24"/>
          <w:szCs w:val="24"/>
        </w:rPr>
      </w:pPr>
    </w:p>
    <w:p w14:paraId="38147F21" w14:textId="77777777" w:rsidR="001B1DA7" w:rsidRDefault="001B1DA7" w:rsidP="00D86849">
      <w:pPr>
        <w:spacing w:before="120"/>
        <w:rPr>
          <w:rFonts w:eastAsia="Calibri"/>
          <w:b/>
          <w:sz w:val="24"/>
          <w:szCs w:val="24"/>
        </w:rPr>
      </w:pPr>
    </w:p>
    <w:p w14:paraId="32C9FEF0" w14:textId="6256D41E" w:rsidR="007B4DD4" w:rsidRPr="001B1DA7" w:rsidRDefault="003A531F" w:rsidP="00D86849">
      <w:pPr>
        <w:spacing w:before="120"/>
        <w:rPr>
          <w:rFonts w:eastAsia="Calibri"/>
          <w:b/>
          <w:sz w:val="24"/>
          <w:szCs w:val="24"/>
        </w:rPr>
      </w:pPr>
      <w:bookmarkStart w:id="0" w:name="_GoBack"/>
      <w:bookmarkEnd w:id="0"/>
      <w:r w:rsidRPr="001B1DA7">
        <w:rPr>
          <w:rFonts w:eastAsia="Calibri"/>
          <w:b/>
          <w:sz w:val="24"/>
          <w:szCs w:val="24"/>
        </w:rPr>
        <w:t xml:space="preserve">If </w:t>
      </w:r>
      <w:r w:rsidR="007B4DD4" w:rsidRPr="001B1DA7">
        <w:rPr>
          <w:rFonts w:eastAsia="Calibri"/>
          <w:b/>
          <w:sz w:val="24"/>
          <w:szCs w:val="24"/>
        </w:rPr>
        <w:t xml:space="preserve">the </w:t>
      </w:r>
      <w:r w:rsidR="003F59C3" w:rsidRPr="001B1DA7">
        <w:rPr>
          <w:rFonts w:eastAsia="Calibri"/>
          <w:b/>
          <w:sz w:val="24"/>
          <w:szCs w:val="24"/>
        </w:rPr>
        <w:t>Probabilistic Base Case</w:t>
      </w:r>
      <w:r w:rsidRPr="001B1DA7">
        <w:rPr>
          <w:rFonts w:eastAsia="Calibri"/>
          <w:b/>
          <w:sz w:val="24"/>
          <w:szCs w:val="24"/>
        </w:rPr>
        <w:t xml:space="preserve"> </w:t>
      </w:r>
      <w:r w:rsidR="007B4DD4" w:rsidRPr="001B1DA7">
        <w:rPr>
          <w:rFonts w:eastAsia="Calibri"/>
          <w:b/>
          <w:sz w:val="24"/>
          <w:szCs w:val="24"/>
        </w:rPr>
        <w:t xml:space="preserve">results indicated loss of load hours (LOL) </w:t>
      </w:r>
      <w:r w:rsidRPr="001B1DA7">
        <w:rPr>
          <w:rFonts w:eastAsia="Calibri"/>
          <w:b/>
          <w:sz w:val="24"/>
          <w:szCs w:val="24"/>
        </w:rPr>
        <w:t xml:space="preserve">outside of the </w:t>
      </w:r>
      <w:r w:rsidR="007B4DD4" w:rsidRPr="001B1DA7">
        <w:rPr>
          <w:rFonts w:eastAsia="Calibri"/>
          <w:b/>
          <w:sz w:val="24"/>
          <w:szCs w:val="24"/>
        </w:rPr>
        <w:t>on-</w:t>
      </w:r>
      <w:r w:rsidRPr="001B1DA7">
        <w:rPr>
          <w:rFonts w:eastAsia="Calibri"/>
          <w:b/>
          <w:sz w:val="24"/>
          <w:szCs w:val="24"/>
        </w:rPr>
        <w:t>peak ho</w:t>
      </w:r>
      <w:r w:rsidR="007B4DD4" w:rsidRPr="001B1DA7">
        <w:rPr>
          <w:rFonts w:eastAsia="Calibri"/>
          <w:b/>
          <w:sz w:val="24"/>
          <w:szCs w:val="24"/>
        </w:rPr>
        <w:t>ur, please explain or describe the following</w:t>
      </w:r>
      <w:r w:rsidR="006D1C96" w:rsidRPr="001B1DA7">
        <w:rPr>
          <w:rFonts w:eastAsia="Calibri"/>
          <w:b/>
          <w:sz w:val="24"/>
          <w:szCs w:val="24"/>
        </w:rPr>
        <w:t>, as applicable</w:t>
      </w:r>
      <w:r w:rsidR="007B4DD4" w:rsidRPr="001B1DA7">
        <w:rPr>
          <w:rFonts w:eastAsia="Calibri"/>
          <w:b/>
          <w:sz w:val="24"/>
          <w:szCs w:val="24"/>
        </w:rPr>
        <w:t>:</w:t>
      </w:r>
    </w:p>
    <w:p w14:paraId="176F234E" w14:textId="736B5608" w:rsidR="007B4DD4" w:rsidRPr="001B1DA7" w:rsidRDefault="007B4DD4" w:rsidP="00A92C54">
      <w:pPr>
        <w:pStyle w:val="ListParagraph"/>
        <w:numPr>
          <w:ilvl w:val="0"/>
          <w:numId w:val="7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Month of loss of load occurrences</w:t>
      </w:r>
      <w:r w:rsidR="006D1C96" w:rsidRPr="001B1DA7">
        <w:rPr>
          <w:rFonts w:eastAsia="Calibri"/>
          <w:sz w:val="24"/>
          <w:szCs w:val="24"/>
        </w:rPr>
        <w:t xml:space="preserve"> and/or contributing factors</w:t>
      </w:r>
    </w:p>
    <w:p w14:paraId="03D07CFF" w14:textId="58FC3E6B" w:rsidR="007B4DD4" w:rsidRPr="001B1DA7" w:rsidRDefault="007B4DD4" w:rsidP="00A92C54">
      <w:pPr>
        <w:pStyle w:val="ListParagraph"/>
        <w:numPr>
          <w:ilvl w:val="0"/>
          <w:numId w:val="7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Time of day of occurrence(s) </w:t>
      </w:r>
      <w:r w:rsidR="006D1C96" w:rsidRPr="001B1DA7">
        <w:rPr>
          <w:rFonts w:eastAsia="Calibri"/>
          <w:sz w:val="24"/>
          <w:szCs w:val="24"/>
        </w:rPr>
        <w:t xml:space="preserve">and/or contributing factors </w:t>
      </w:r>
      <w:r w:rsidRPr="001B1DA7">
        <w:rPr>
          <w:rFonts w:eastAsia="Calibri"/>
          <w:i/>
          <w:sz w:val="24"/>
          <w:szCs w:val="24"/>
        </w:rPr>
        <w:t>(</w:t>
      </w:r>
      <w:r w:rsidR="00A414A7" w:rsidRPr="001B1DA7">
        <w:rPr>
          <w:rFonts w:eastAsia="Calibri"/>
          <w:i/>
          <w:sz w:val="24"/>
          <w:szCs w:val="24"/>
        </w:rPr>
        <w:t>e</w:t>
      </w:r>
      <w:r w:rsidRPr="001B1DA7">
        <w:rPr>
          <w:rFonts w:eastAsia="Calibri"/>
          <w:i/>
          <w:sz w:val="24"/>
          <w:szCs w:val="24"/>
        </w:rPr>
        <w:t>.</w:t>
      </w:r>
      <w:r w:rsidR="00A414A7" w:rsidRPr="001B1DA7">
        <w:rPr>
          <w:rFonts w:eastAsia="Calibri"/>
          <w:i/>
          <w:sz w:val="24"/>
          <w:szCs w:val="24"/>
        </w:rPr>
        <w:t>g</w:t>
      </w:r>
      <w:r w:rsidRPr="001B1DA7">
        <w:rPr>
          <w:rFonts w:eastAsia="Calibri"/>
          <w:i/>
          <w:sz w:val="24"/>
          <w:szCs w:val="24"/>
        </w:rPr>
        <w:t xml:space="preserve">. </w:t>
      </w:r>
      <w:r w:rsidR="006D1C96" w:rsidRPr="001B1DA7">
        <w:rPr>
          <w:rFonts w:eastAsia="Calibri"/>
          <w:i/>
          <w:sz w:val="24"/>
          <w:szCs w:val="24"/>
        </w:rPr>
        <w:t>m</w:t>
      </w:r>
      <w:r w:rsidRPr="001B1DA7">
        <w:rPr>
          <w:rFonts w:eastAsia="Calibri"/>
          <w:i/>
          <w:sz w:val="24"/>
          <w:szCs w:val="24"/>
        </w:rPr>
        <w:t xml:space="preserve">orning, afternoon, evening, overnight) </w:t>
      </w:r>
    </w:p>
    <w:p w14:paraId="72D0E328" w14:textId="3E031567" w:rsidR="006D1C96" w:rsidRPr="001B1DA7" w:rsidRDefault="007B4DD4" w:rsidP="00A92C54">
      <w:pPr>
        <w:pStyle w:val="ListParagraph"/>
        <w:numPr>
          <w:ilvl w:val="0"/>
          <w:numId w:val="7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Any </w:t>
      </w:r>
      <w:r w:rsidR="006D1C96" w:rsidRPr="001B1DA7">
        <w:rPr>
          <w:rFonts w:eastAsia="Calibri"/>
          <w:sz w:val="24"/>
          <w:szCs w:val="24"/>
        </w:rPr>
        <w:t xml:space="preserve">reliability </w:t>
      </w:r>
      <w:r w:rsidRPr="001B1DA7">
        <w:rPr>
          <w:rFonts w:eastAsia="Calibri"/>
          <w:sz w:val="24"/>
          <w:szCs w:val="24"/>
        </w:rPr>
        <w:t xml:space="preserve">factors or </w:t>
      </w:r>
      <w:r w:rsidR="0051362D" w:rsidRPr="001B1DA7">
        <w:rPr>
          <w:rFonts w:eastAsia="Calibri"/>
          <w:sz w:val="24"/>
          <w:szCs w:val="24"/>
        </w:rPr>
        <w:t xml:space="preserve">reliability risk </w:t>
      </w:r>
      <w:r w:rsidRPr="001B1DA7">
        <w:rPr>
          <w:rFonts w:eastAsia="Calibri"/>
          <w:sz w:val="24"/>
          <w:szCs w:val="24"/>
        </w:rPr>
        <w:t>drivers that created</w:t>
      </w:r>
      <w:r w:rsidR="006D1C96" w:rsidRPr="001B1DA7">
        <w:rPr>
          <w:rFonts w:eastAsia="Calibri"/>
          <w:sz w:val="24"/>
          <w:szCs w:val="24"/>
        </w:rPr>
        <w:t xml:space="preserve"> additional loss of load</w:t>
      </w:r>
      <w:r w:rsidR="00C01219" w:rsidRPr="001B1DA7">
        <w:rPr>
          <w:rFonts w:eastAsia="Calibri"/>
          <w:sz w:val="24"/>
          <w:szCs w:val="24"/>
        </w:rPr>
        <w:t xml:space="preserve"> or resource adequacy</w:t>
      </w:r>
      <w:r w:rsidR="006D1C96" w:rsidRPr="001B1DA7">
        <w:rPr>
          <w:rFonts w:eastAsia="Calibri"/>
          <w:sz w:val="24"/>
          <w:szCs w:val="24"/>
        </w:rPr>
        <w:t xml:space="preserve"> risk</w:t>
      </w:r>
      <w:r w:rsidR="00D527D9" w:rsidRPr="001B1DA7">
        <w:rPr>
          <w:rFonts w:eastAsia="Calibri"/>
          <w:sz w:val="24"/>
          <w:szCs w:val="24"/>
        </w:rPr>
        <w:t xml:space="preserve"> at the </w:t>
      </w:r>
      <w:r w:rsidR="00F721AE" w:rsidRPr="001B1DA7">
        <w:rPr>
          <w:rFonts w:eastAsia="Calibri"/>
          <w:sz w:val="24"/>
          <w:szCs w:val="24"/>
        </w:rPr>
        <w:t>non-peak</w:t>
      </w:r>
      <w:r w:rsidR="00D527D9" w:rsidRPr="001B1DA7">
        <w:rPr>
          <w:rFonts w:eastAsia="Calibri"/>
          <w:sz w:val="24"/>
          <w:szCs w:val="24"/>
        </w:rPr>
        <w:t xml:space="preserve"> hours</w:t>
      </w:r>
    </w:p>
    <w:p w14:paraId="7AB96D22" w14:textId="4777EE3A" w:rsidR="00B5270E" w:rsidRPr="001B1DA7" w:rsidRDefault="00E70EC8" w:rsidP="00A92C54">
      <w:pPr>
        <w:pStyle w:val="ListParagraph"/>
        <w:numPr>
          <w:ilvl w:val="0"/>
          <w:numId w:val="7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Any proposed resource, </w:t>
      </w:r>
      <w:r w:rsidR="006D1C96" w:rsidRPr="001B1DA7">
        <w:rPr>
          <w:rFonts w:eastAsia="Calibri"/>
          <w:sz w:val="24"/>
          <w:szCs w:val="24"/>
        </w:rPr>
        <w:t xml:space="preserve">system </w:t>
      </w:r>
      <w:r w:rsidR="00A92C54" w:rsidRPr="001B1DA7">
        <w:rPr>
          <w:rFonts w:eastAsia="Calibri"/>
          <w:sz w:val="24"/>
          <w:szCs w:val="24"/>
        </w:rPr>
        <w:t>changes,</w:t>
      </w:r>
      <w:r w:rsidR="006D1C96" w:rsidRPr="001B1DA7">
        <w:rPr>
          <w:rFonts w:eastAsia="Calibri"/>
          <w:sz w:val="24"/>
          <w:szCs w:val="24"/>
        </w:rPr>
        <w:t xml:space="preserve"> </w:t>
      </w:r>
      <w:r w:rsidRPr="001B1DA7">
        <w:rPr>
          <w:rFonts w:eastAsia="Calibri"/>
          <w:sz w:val="24"/>
          <w:szCs w:val="24"/>
        </w:rPr>
        <w:t xml:space="preserve">or planning strategy </w:t>
      </w:r>
      <w:r w:rsidR="002E691E" w:rsidRPr="001B1DA7">
        <w:rPr>
          <w:rFonts w:eastAsia="Calibri"/>
          <w:sz w:val="24"/>
          <w:szCs w:val="24"/>
        </w:rPr>
        <w:t>that may help</w:t>
      </w:r>
      <w:r w:rsidR="006D1C96" w:rsidRPr="001B1DA7">
        <w:rPr>
          <w:rFonts w:eastAsia="Calibri"/>
          <w:sz w:val="24"/>
          <w:szCs w:val="24"/>
        </w:rPr>
        <w:t xml:space="preserve"> mitigate </w:t>
      </w:r>
      <w:r w:rsidRPr="001B1DA7">
        <w:rPr>
          <w:rFonts w:eastAsia="Calibri"/>
          <w:sz w:val="24"/>
          <w:szCs w:val="24"/>
        </w:rPr>
        <w:t>l</w:t>
      </w:r>
      <w:r w:rsidR="002E691E" w:rsidRPr="001B1DA7">
        <w:rPr>
          <w:rFonts w:eastAsia="Calibri"/>
          <w:sz w:val="24"/>
          <w:szCs w:val="24"/>
        </w:rPr>
        <w:t>oss of load</w:t>
      </w:r>
      <w:r w:rsidRPr="001B1DA7">
        <w:rPr>
          <w:rFonts w:eastAsia="Calibri"/>
          <w:sz w:val="24"/>
          <w:szCs w:val="24"/>
        </w:rPr>
        <w:t xml:space="preserve"> or resource </w:t>
      </w:r>
      <w:r w:rsidR="00F721AE" w:rsidRPr="001B1DA7">
        <w:rPr>
          <w:rFonts w:eastAsia="Calibri"/>
          <w:sz w:val="24"/>
          <w:szCs w:val="24"/>
        </w:rPr>
        <w:t>adequacy</w:t>
      </w:r>
      <w:r w:rsidR="002E691E" w:rsidRPr="001B1DA7">
        <w:rPr>
          <w:rFonts w:eastAsia="Calibri"/>
          <w:sz w:val="24"/>
          <w:szCs w:val="24"/>
        </w:rPr>
        <w:t xml:space="preserve"> risks</w:t>
      </w:r>
      <w:r w:rsidR="00F953E1" w:rsidRPr="001B1DA7">
        <w:rPr>
          <w:rFonts w:eastAsia="Calibri"/>
          <w:sz w:val="24"/>
          <w:szCs w:val="24"/>
        </w:rPr>
        <w:t>.  These could be based on LTRA or Probabilistic Assessment Base Case results</w:t>
      </w:r>
      <w:r w:rsidR="00900CA9" w:rsidRPr="001B1DA7">
        <w:rPr>
          <w:rFonts w:eastAsia="Calibri"/>
          <w:sz w:val="24"/>
          <w:szCs w:val="24"/>
        </w:rPr>
        <w:t>.</w:t>
      </w:r>
    </w:p>
    <w:p w14:paraId="50F38CCB" w14:textId="69953E8E" w:rsidR="00031288" w:rsidRPr="001B1DA7" w:rsidRDefault="00031288" w:rsidP="00A92C54">
      <w:pPr>
        <w:pStyle w:val="ListParagraph"/>
        <w:numPr>
          <w:ilvl w:val="0"/>
          <w:numId w:val="7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[Other </w:t>
      </w:r>
      <w:r w:rsidR="00B5270E" w:rsidRPr="001B1DA7">
        <w:rPr>
          <w:rFonts w:eastAsia="Calibri"/>
          <w:sz w:val="24"/>
          <w:szCs w:val="24"/>
          <w:highlight w:val="yellow"/>
        </w:rPr>
        <w:t>trends or</w:t>
      </w:r>
      <w:r w:rsidR="00B5270E" w:rsidRPr="001B1DA7">
        <w:rPr>
          <w:rFonts w:eastAsia="Calibri"/>
          <w:sz w:val="24"/>
          <w:szCs w:val="24"/>
        </w:rPr>
        <w:t xml:space="preserve"> </w:t>
      </w:r>
      <w:r w:rsidRPr="001B1DA7">
        <w:rPr>
          <w:rFonts w:eastAsia="Calibri"/>
          <w:sz w:val="24"/>
          <w:szCs w:val="24"/>
        </w:rPr>
        <w:t>areas of interest]</w:t>
      </w:r>
    </w:p>
    <w:p w14:paraId="53FA0E4A" w14:textId="7CA95F2F" w:rsidR="00F953E1" w:rsidRPr="001B1DA7" w:rsidRDefault="00F953E1" w:rsidP="00F721AE">
      <w:pPr>
        <w:pStyle w:val="ListParagraph"/>
        <w:spacing w:before="120"/>
        <w:rPr>
          <w:rFonts w:eastAsia="Calibri"/>
          <w:sz w:val="24"/>
          <w:szCs w:val="24"/>
        </w:rPr>
      </w:pPr>
    </w:p>
    <w:p w14:paraId="08B594CD" w14:textId="2C3F62BB" w:rsidR="0080148A" w:rsidRPr="001B1DA7" w:rsidRDefault="0080148A" w:rsidP="0080148A">
      <w:pPr>
        <w:pStyle w:val="ListParagraph"/>
        <w:spacing w:before="120"/>
        <w:ind w:left="360"/>
        <w:rPr>
          <w:rFonts w:eastAsia="Calibri"/>
          <w:i/>
          <w:sz w:val="24"/>
          <w:szCs w:val="24"/>
        </w:rPr>
      </w:pPr>
      <w:r w:rsidRPr="001B1DA7">
        <w:rPr>
          <w:rFonts w:eastAsia="Calibri"/>
          <w:i/>
          <w:sz w:val="24"/>
          <w:szCs w:val="24"/>
          <w:highlight w:val="yellow"/>
        </w:rPr>
        <w:t>On a voluntary and supplemental basis, please consider any hourly resource/demand analysis</w:t>
      </w:r>
      <w:r w:rsidR="0095470D" w:rsidRPr="001B1DA7">
        <w:rPr>
          <w:rFonts w:eastAsia="Calibri"/>
          <w:i/>
          <w:sz w:val="24"/>
          <w:szCs w:val="24"/>
          <w:highlight w:val="yellow"/>
        </w:rPr>
        <w:t xml:space="preserve"> (qualitative)</w:t>
      </w:r>
      <w:r w:rsidRPr="001B1DA7">
        <w:rPr>
          <w:rFonts w:eastAsia="Calibri"/>
          <w:i/>
          <w:sz w:val="24"/>
          <w:szCs w:val="24"/>
          <w:highlight w:val="yellow"/>
        </w:rPr>
        <w:t xml:space="preserve"> or data</w:t>
      </w:r>
      <w:r w:rsidR="0095470D" w:rsidRPr="001B1DA7">
        <w:rPr>
          <w:rFonts w:eastAsia="Calibri"/>
          <w:i/>
          <w:sz w:val="24"/>
          <w:szCs w:val="24"/>
          <w:highlight w:val="yellow"/>
        </w:rPr>
        <w:t xml:space="preserve"> (quantitative)</w:t>
      </w:r>
      <w:r w:rsidRPr="001B1DA7">
        <w:rPr>
          <w:rFonts w:eastAsia="Calibri"/>
          <w:i/>
          <w:sz w:val="24"/>
          <w:szCs w:val="24"/>
          <w:highlight w:val="yellow"/>
        </w:rPr>
        <w:t xml:space="preserve"> to support </w:t>
      </w:r>
      <w:r w:rsidR="00727432" w:rsidRPr="001B1DA7">
        <w:rPr>
          <w:rFonts w:eastAsia="Calibri"/>
          <w:i/>
          <w:sz w:val="24"/>
          <w:szCs w:val="24"/>
          <w:highlight w:val="yellow"/>
        </w:rPr>
        <w:t>the</w:t>
      </w:r>
      <w:r w:rsidRPr="001B1DA7">
        <w:rPr>
          <w:rFonts w:eastAsia="Calibri"/>
          <w:i/>
          <w:sz w:val="24"/>
          <w:szCs w:val="24"/>
          <w:highlight w:val="yellow"/>
        </w:rPr>
        <w:t xml:space="preserve"> response in describing the non-peak</w:t>
      </w:r>
      <w:r w:rsidR="00155732" w:rsidRPr="001B1DA7">
        <w:rPr>
          <w:rFonts w:eastAsia="Calibri"/>
          <w:i/>
          <w:sz w:val="24"/>
          <w:szCs w:val="24"/>
          <w:highlight w:val="yellow"/>
        </w:rPr>
        <w:t xml:space="preserve"> hour reliability</w:t>
      </w:r>
      <w:r w:rsidRPr="001B1DA7">
        <w:rPr>
          <w:rFonts w:eastAsia="Calibri"/>
          <w:i/>
          <w:sz w:val="24"/>
          <w:szCs w:val="24"/>
          <w:highlight w:val="yellow"/>
        </w:rPr>
        <w:t xml:space="preserve"> risks.</w:t>
      </w:r>
    </w:p>
    <w:p w14:paraId="781906B1" w14:textId="60AECE66" w:rsidR="00564D53" w:rsidRPr="001B1DA7" w:rsidRDefault="00880AF0" w:rsidP="0080148A">
      <w:pPr>
        <w:spacing w:before="120"/>
        <w:ind w:left="360"/>
        <w:rPr>
          <w:rFonts w:eastAsia="Calibri"/>
          <w:i/>
          <w:sz w:val="24"/>
          <w:szCs w:val="24"/>
        </w:rPr>
      </w:pPr>
      <w:r w:rsidRPr="001B1DA7">
        <w:rPr>
          <w:rFonts w:eastAsia="Calibri"/>
          <w:i/>
          <w:sz w:val="24"/>
          <w:szCs w:val="24"/>
          <w:highlight w:val="yellow"/>
        </w:rPr>
        <w:t>Potential</w:t>
      </w:r>
      <w:r w:rsidR="00564D53" w:rsidRPr="001B1DA7">
        <w:rPr>
          <w:rFonts w:eastAsia="Calibri"/>
          <w:i/>
          <w:sz w:val="24"/>
          <w:szCs w:val="24"/>
          <w:highlight w:val="yellow"/>
        </w:rPr>
        <w:t xml:space="preserve"> drivers c</w:t>
      </w:r>
      <w:r w:rsidR="00F953E1" w:rsidRPr="001B1DA7">
        <w:rPr>
          <w:rFonts w:eastAsia="Calibri"/>
          <w:i/>
          <w:sz w:val="24"/>
          <w:szCs w:val="24"/>
          <w:highlight w:val="yellow"/>
        </w:rPr>
        <w:t>ould</w:t>
      </w:r>
      <w:r w:rsidR="00564D53" w:rsidRPr="001B1DA7">
        <w:rPr>
          <w:rFonts w:eastAsia="Calibri"/>
          <w:i/>
          <w:sz w:val="24"/>
          <w:szCs w:val="24"/>
          <w:highlight w:val="yellow"/>
        </w:rPr>
        <w:t xml:space="preserve"> include </w:t>
      </w:r>
      <w:r w:rsidR="00A414A7" w:rsidRPr="001B1DA7">
        <w:rPr>
          <w:rFonts w:eastAsia="Calibri"/>
          <w:i/>
          <w:sz w:val="24"/>
          <w:szCs w:val="24"/>
          <w:highlight w:val="yellow"/>
        </w:rPr>
        <w:t>responses from the</w:t>
      </w:r>
      <w:r w:rsidR="00564D53" w:rsidRPr="001B1DA7">
        <w:rPr>
          <w:rFonts w:eastAsia="Calibri"/>
          <w:i/>
          <w:sz w:val="24"/>
          <w:szCs w:val="24"/>
          <w:highlight w:val="yellow"/>
        </w:rPr>
        <w:t xml:space="preserve"> </w:t>
      </w:r>
      <w:r w:rsidR="00A414A7" w:rsidRPr="001B1DA7">
        <w:rPr>
          <w:rFonts w:eastAsia="Calibri"/>
          <w:i/>
          <w:sz w:val="24"/>
          <w:szCs w:val="24"/>
          <w:highlight w:val="yellow"/>
        </w:rPr>
        <w:t xml:space="preserve">2020 </w:t>
      </w:r>
      <w:r w:rsidR="00564D53" w:rsidRPr="001B1DA7">
        <w:rPr>
          <w:rFonts w:eastAsia="Calibri"/>
          <w:i/>
          <w:sz w:val="24"/>
          <w:szCs w:val="24"/>
          <w:highlight w:val="yellow"/>
        </w:rPr>
        <w:t>LTRA narrative reques</w:t>
      </w:r>
      <w:r w:rsidR="00A414A7" w:rsidRPr="001B1DA7">
        <w:rPr>
          <w:rFonts w:eastAsia="Calibri"/>
          <w:i/>
          <w:sz w:val="24"/>
          <w:szCs w:val="24"/>
          <w:highlight w:val="yellow"/>
        </w:rPr>
        <w:t>t, such</w:t>
      </w:r>
      <w:r w:rsidR="00D527D9" w:rsidRPr="001B1DA7">
        <w:rPr>
          <w:rFonts w:eastAsia="Calibri"/>
          <w:i/>
          <w:sz w:val="24"/>
          <w:szCs w:val="24"/>
          <w:highlight w:val="yellow"/>
        </w:rPr>
        <w:t xml:space="preserve"> as</w:t>
      </w:r>
      <w:r w:rsidR="00564D53" w:rsidRPr="001B1DA7">
        <w:rPr>
          <w:rFonts w:eastAsia="Calibri"/>
          <w:i/>
          <w:sz w:val="24"/>
          <w:szCs w:val="24"/>
          <w:highlight w:val="yellow"/>
        </w:rPr>
        <w:t>:</w:t>
      </w:r>
    </w:p>
    <w:p w14:paraId="6418EBB1" w14:textId="20C1EF67" w:rsidR="00880AF0" w:rsidRPr="001B1DA7" w:rsidRDefault="00880AF0" w:rsidP="001B1DA7">
      <w:pPr>
        <w:pStyle w:val="ListParagraph"/>
        <w:numPr>
          <w:ilvl w:val="0"/>
          <w:numId w:val="5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Off-peak capacity </w:t>
      </w:r>
      <w:r w:rsidR="00F5727D" w:rsidRPr="001B1DA7">
        <w:rPr>
          <w:rFonts w:eastAsia="Calibri"/>
          <w:sz w:val="24"/>
          <w:szCs w:val="24"/>
        </w:rPr>
        <w:t xml:space="preserve">limitations (e.g., </w:t>
      </w:r>
      <w:r w:rsidR="00A414A7" w:rsidRPr="001B1DA7">
        <w:rPr>
          <w:rFonts w:eastAsia="Calibri"/>
          <w:sz w:val="24"/>
          <w:szCs w:val="24"/>
        </w:rPr>
        <w:t>s</w:t>
      </w:r>
      <w:r w:rsidR="00F5727D" w:rsidRPr="001B1DA7">
        <w:rPr>
          <w:rFonts w:eastAsia="Calibri"/>
          <w:sz w:val="24"/>
          <w:szCs w:val="24"/>
        </w:rPr>
        <w:t>olar PV reduction</w:t>
      </w:r>
      <w:r w:rsidR="00D527D9" w:rsidRPr="001B1DA7">
        <w:rPr>
          <w:rFonts w:eastAsia="Calibri"/>
          <w:sz w:val="24"/>
          <w:szCs w:val="24"/>
        </w:rPr>
        <w:t>s</w:t>
      </w:r>
      <w:r w:rsidR="00F5727D" w:rsidRPr="001B1DA7">
        <w:rPr>
          <w:rFonts w:eastAsia="Calibri"/>
          <w:sz w:val="24"/>
          <w:szCs w:val="24"/>
        </w:rPr>
        <w:t xml:space="preserve"> in </w:t>
      </w:r>
      <w:r w:rsidR="00F721AE" w:rsidRPr="001B1DA7">
        <w:rPr>
          <w:rFonts w:eastAsia="Calibri"/>
          <w:sz w:val="24"/>
          <w:szCs w:val="24"/>
          <w:highlight w:val="yellow"/>
        </w:rPr>
        <w:t>non-peak</w:t>
      </w:r>
      <w:r w:rsidR="00A414A7" w:rsidRPr="001B1DA7">
        <w:rPr>
          <w:rFonts w:eastAsia="Calibri"/>
          <w:sz w:val="24"/>
          <w:szCs w:val="24"/>
        </w:rPr>
        <w:t xml:space="preserve"> </w:t>
      </w:r>
      <w:r w:rsidR="00F5727D" w:rsidRPr="001B1DA7">
        <w:rPr>
          <w:rFonts w:eastAsia="Calibri"/>
          <w:sz w:val="24"/>
          <w:szCs w:val="24"/>
        </w:rPr>
        <w:t>hours)</w:t>
      </w:r>
    </w:p>
    <w:p w14:paraId="189EA8E9" w14:textId="6664F9BD" w:rsidR="00A414A7" w:rsidRPr="001B1DA7" w:rsidRDefault="00F5727D" w:rsidP="001B1DA7">
      <w:pPr>
        <w:pStyle w:val="ListParagraph"/>
        <w:numPr>
          <w:ilvl w:val="0"/>
          <w:numId w:val="5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Off-peak demand changes (e.g., </w:t>
      </w:r>
      <w:r w:rsidR="00A414A7" w:rsidRPr="001B1DA7">
        <w:rPr>
          <w:rFonts w:eastAsia="Calibri"/>
          <w:sz w:val="24"/>
          <w:szCs w:val="24"/>
        </w:rPr>
        <w:t>l</w:t>
      </w:r>
      <w:r w:rsidRPr="001B1DA7">
        <w:rPr>
          <w:rFonts w:eastAsia="Calibri"/>
          <w:sz w:val="24"/>
          <w:szCs w:val="24"/>
        </w:rPr>
        <w:t>arge motor load</w:t>
      </w:r>
      <w:r w:rsidR="00A414A7" w:rsidRPr="001B1DA7">
        <w:rPr>
          <w:rFonts w:eastAsia="Calibri"/>
          <w:sz w:val="24"/>
          <w:szCs w:val="24"/>
        </w:rPr>
        <w:t>s</w:t>
      </w:r>
      <w:r w:rsidRPr="001B1DA7">
        <w:rPr>
          <w:rFonts w:eastAsia="Calibri"/>
          <w:sz w:val="24"/>
          <w:szCs w:val="24"/>
        </w:rPr>
        <w:t xml:space="preserve"> increase in </w:t>
      </w:r>
      <w:r w:rsidR="00D527D9" w:rsidRPr="001B1DA7">
        <w:rPr>
          <w:rFonts w:eastAsia="Calibri"/>
          <w:sz w:val="24"/>
          <w:szCs w:val="24"/>
          <w:highlight w:val="yellow"/>
        </w:rPr>
        <w:t>non</w:t>
      </w:r>
      <w:r w:rsidR="00F721AE" w:rsidRPr="001B1DA7">
        <w:rPr>
          <w:rFonts w:eastAsia="Calibri"/>
          <w:sz w:val="24"/>
          <w:szCs w:val="24"/>
          <w:highlight w:val="yellow"/>
        </w:rPr>
        <w:t>-</w:t>
      </w:r>
      <w:r w:rsidR="00D527D9" w:rsidRPr="001B1DA7">
        <w:rPr>
          <w:rFonts w:eastAsia="Calibri"/>
          <w:sz w:val="24"/>
          <w:szCs w:val="24"/>
          <w:highlight w:val="yellow"/>
        </w:rPr>
        <w:t>peak</w:t>
      </w:r>
      <w:r w:rsidR="00D527D9" w:rsidRPr="001B1DA7">
        <w:rPr>
          <w:rFonts w:eastAsia="Calibri"/>
          <w:sz w:val="24"/>
          <w:szCs w:val="24"/>
        </w:rPr>
        <w:t xml:space="preserve"> </w:t>
      </w:r>
      <w:r w:rsidRPr="001B1DA7">
        <w:rPr>
          <w:rFonts w:eastAsia="Calibri"/>
          <w:sz w:val="24"/>
          <w:szCs w:val="24"/>
        </w:rPr>
        <w:t>hours)</w:t>
      </w:r>
    </w:p>
    <w:p w14:paraId="30B1895A" w14:textId="50324295" w:rsidR="00A414A7" w:rsidRPr="001B1DA7" w:rsidRDefault="00424A32" w:rsidP="001B1DA7">
      <w:pPr>
        <w:pStyle w:val="ListParagraph"/>
        <w:numPr>
          <w:ilvl w:val="0"/>
          <w:numId w:val="5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Limited f</w:t>
      </w:r>
      <w:r w:rsidR="00A414A7" w:rsidRPr="001B1DA7">
        <w:rPr>
          <w:rFonts w:eastAsia="Calibri"/>
          <w:sz w:val="24"/>
          <w:szCs w:val="24"/>
        </w:rPr>
        <w:t xml:space="preserve">uel or energy availability </w:t>
      </w:r>
    </w:p>
    <w:p w14:paraId="704EBEBB" w14:textId="3537CE79" w:rsidR="00031288" w:rsidRPr="001B1DA7" w:rsidRDefault="00424A32" w:rsidP="001B1DA7">
      <w:pPr>
        <w:pStyle w:val="ListParagraph"/>
        <w:numPr>
          <w:ilvl w:val="0"/>
          <w:numId w:val="5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Resource outages</w:t>
      </w:r>
      <w:r w:rsidR="00D527D9" w:rsidRPr="001B1DA7">
        <w:rPr>
          <w:rFonts w:eastAsia="Calibri"/>
          <w:sz w:val="24"/>
          <w:szCs w:val="24"/>
        </w:rPr>
        <w:t xml:space="preserve"> differ</w:t>
      </w:r>
      <w:r w:rsidR="00BD75F0" w:rsidRPr="001B1DA7">
        <w:rPr>
          <w:rFonts w:eastAsia="Calibri"/>
          <w:sz w:val="24"/>
          <w:szCs w:val="24"/>
        </w:rPr>
        <w:t>ent from the reported peak hour</w:t>
      </w:r>
    </w:p>
    <w:p w14:paraId="17F80732" w14:textId="77777777" w:rsidR="00031288" w:rsidRPr="001B1DA7" w:rsidRDefault="00031288" w:rsidP="001B1DA7">
      <w:pPr>
        <w:pStyle w:val="ListParagraph"/>
        <w:numPr>
          <w:ilvl w:val="0"/>
          <w:numId w:val="5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[Other areas of interest]</w:t>
      </w:r>
    </w:p>
    <w:p w14:paraId="386B3E59" w14:textId="14E91FC6" w:rsidR="00104557" w:rsidRPr="001B1DA7" w:rsidRDefault="00104557" w:rsidP="00104557">
      <w:pPr>
        <w:spacing w:before="120"/>
        <w:rPr>
          <w:rFonts w:eastAsia="Calibri"/>
          <w:b/>
          <w:sz w:val="24"/>
          <w:szCs w:val="24"/>
          <w:highlight w:val="yellow"/>
        </w:rPr>
      </w:pPr>
      <w:r w:rsidRPr="001B1DA7">
        <w:rPr>
          <w:rFonts w:eastAsia="Calibri"/>
          <w:b/>
          <w:sz w:val="24"/>
          <w:szCs w:val="24"/>
          <w:highlight w:val="yellow"/>
        </w:rPr>
        <w:t>If the Probabilistic Base Case results indicated Expected Unserved Energy (EUE), please explain or describe the following, as applicable:</w:t>
      </w:r>
    </w:p>
    <w:p w14:paraId="4E74A015" w14:textId="7B3497E1" w:rsidR="00104557" w:rsidRPr="001B1DA7" w:rsidRDefault="00104557" w:rsidP="00A92C54">
      <w:pPr>
        <w:pStyle w:val="ListParagraph"/>
        <w:numPr>
          <w:ilvl w:val="0"/>
          <w:numId w:val="9"/>
        </w:numPr>
        <w:spacing w:before="120"/>
        <w:contextualSpacing w:val="0"/>
        <w:rPr>
          <w:rFonts w:eastAsia="Calibri"/>
          <w:sz w:val="24"/>
          <w:szCs w:val="24"/>
          <w:highlight w:val="yellow"/>
        </w:rPr>
      </w:pPr>
      <w:r w:rsidRPr="001B1DA7">
        <w:rPr>
          <w:rFonts w:eastAsia="Calibri"/>
          <w:sz w:val="24"/>
          <w:szCs w:val="24"/>
          <w:highlight w:val="yellow"/>
        </w:rPr>
        <w:t>Month, magnitude, duration and/or contributing factors</w:t>
      </w:r>
    </w:p>
    <w:p w14:paraId="2064388B" w14:textId="77777777" w:rsidR="00104557" w:rsidRPr="001B1DA7" w:rsidRDefault="00104557" w:rsidP="00A92C54">
      <w:pPr>
        <w:pStyle w:val="ListParagraph"/>
        <w:numPr>
          <w:ilvl w:val="0"/>
          <w:numId w:val="9"/>
        </w:numPr>
        <w:spacing w:before="120"/>
        <w:contextualSpacing w:val="0"/>
        <w:rPr>
          <w:rFonts w:eastAsia="Calibri"/>
          <w:sz w:val="24"/>
          <w:szCs w:val="24"/>
          <w:highlight w:val="yellow"/>
        </w:rPr>
      </w:pPr>
      <w:r w:rsidRPr="001B1DA7">
        <w:rPr>
          <w:rFonts w:eastAsia="Calibri"/>
          <w:sz w:val="24"/>
          <w:szCs w:val="24"/>
          <w:highlight w:val="yellow"/>
        </w:rPr>
        <w:lastRenderedPageBreak/>
        <w:t xml:space="preserve">Time of day of occurrence(s) and/or contributing factors </w:t>
      </w:r>
      <w:r w:rsidRPr="001B1DA7">
        <w:rPr>
          <w:rFonts w:eastAsia="Calibri"/>
          <w:i/>
          <w:sz w:val="24"/>
          <w:szCs w:val="24"/>
          <w:highlight w:val="yellow"/>
        </w:rPr>
        <w:t xml:space="preserve">(e.g. morning, afternoon, evening, overnight) </w:t>
      </w:r>
    </w:p>
    <w:p w14:paraId="3FD9E930" w14:textId="77777777" w:rsidR="00104557" w:rsidRPr="001B1DA7" w:rsidRDefault="00104557" w:rsidP="00A92C54">
      <w:pPr>
        <w:pStyle w:val="ListParagraph"/>
        <w:numPr>
          <w:ilvl w:val="0"/>
          <w:numId w:val="9"/>
        </w:numPr>
        <w:spacing w:before="120"/>
        <w:contextualSpacing w:val="0"/>
        <w:rPr>
          <w:rFonts w:eastAsia="Calibri"/>
          <w:sz w:val="24"/>
          <w:szCs w:val="24"/>
          <w:highlight w:val="yellow"/>
        </w:rPr>
      </w:pPr>
      <w:r w:rsidRPr="001B1DA7">
        <w:rPr>
          <w:rFonts w:eastAsia="Calibri"/>
          <w:sz w:val="24"/>
          <w:szCs w:val="24"/>
          <w:highlight w:val="yellow"/>
        </w:rPr>
        <w:t>Any reliability factors or reliability risk drivers that created additional loss of load or resource adequacy risk at the non-peak hours</w:t>
      </w:r>
    </w:p>
    <w:p w14:paraId="25D3B539" w14:textId="643CB777" w:rsidR="00104557" w:rsidRPr="001B1DA7" w:rsidRDefault="00104557" w:rsidP="00A92C54">
      <w:pPr>
        <w:pStyle w:val="ListParagraph"/>
        <w:numPr>
          <w:ilvl w:val="0"/>
          <w:numId w:val="9"/>
        </w:numPr>
        <w:spacing w:before="120"/>
        <w:contextualSpacing w:val="0"/>
        <w:rPr>
          <w:rFonts w:eastAsia="Calibri"/>
          <w:sz w:val="24"/>
          <w:szCs w:val="24"/>
          <w:highlight w:val="yellow"/>
        </w:rPr>
      </w:pPr>
      <w:r w:rsidRPr="001B1DA7">
        <w:rPr>
          <w:rFonts w:eastAsia="Calibri"/>
          <w:sz w:val="24"/>
          <w:szCs w:val="24"/>
          <w:highlight w:val="yellow"/>
        </w:rPr>
        <w:t xml:space="preserve">Any proposed resource, system </w:t>
      </w:r>
      <w:proofErr w:type="gramStart"/>
      <w:r w:rsidRPr="001B1DA7">
        <w:rPr>
          <w:rFonts w:eastAsia="Calibri"/>
          <w:sz w:val="24"/>
          <w:szCs w:val="24"/>
          <w:highlight w:val="yellow"/>
        </w:rPr>
        <w:t>changes</w:t>
      </w:r>
      <w:proofErr w:type="gramEnd"/>
      <w:r w:rsidRPr="001B1DA7">
        <w:rPr>
          <w:rFonts w:eastAsia="Calibri"/>
          <w:sz w:val="24"/>
          <w:szCs w:val="24"/>
          <w:highlight w:val="yellow"/>
        </w:rPr>
        <w:t xml:space="preserve"> or planning strategy that may help mitigate loss of load or resource adequacy risks.  These could be based on LTRA or Probabilistic Assessment Base Case results.</w:t>
      </w:r>
    </w:p>
    <w:p w14:paraId="45DC1CEE" w14:textId="0CF2950D" w:rsidR="00104557" w:rsidRPr="001B1DA7" w:rsidRDefault="00104557" w:rsidP="00A92C54">
      <w:pPr>
        <w:pStyle w:val="ListParagraph"/>
        <w:numPr>
          <w:ilvl w:val="0"/>
          <w:numId w:val="9"/>
        </w:numPr>
        <w:spacing w:before="120"/>
        <w:contextualSpacing w:val="0"/>
        <w:rPr>
          <w:rFonts w:eastAsia="Calibri"/>
          <w:sz w:val="24"/>
          <w:szCs w:val="24"/>
          <w:highlight w:val="yellow"/>
        </w:rPr>
      </w:pPr>
      <w:r w:rsidRPr="001B1DA7">
        <w:rPr>
          <w:rFonts w:eastAsia="Calibri"/>
          <w:sz w:val="24"/>
          <w:szCs w:val="24"/>
          <w:highlight w:val="yellow"/>
        </w:rPr>
        <w:t xml:space="preserve">[Other </w:t>
      </w:r>
      <w:r w:rsidR="00B5270E" w:rsidRPr="001B1DA7">
        <w:rPr>
          <w:rFonts w:eastAsia="Calibri"/>
          <w:sz w:val="24"/>
          <w:szCs w:val="24"/>
          <w:highlight w:val="yellow"/>
        </w:rPr>
        <w:t xml:space="preserve">trends or </w:t>
      </w:r>
      <w:r w:rsidRPr="001B1DA7">
        <w:rPr>
          <w:rFonts w:eastAsia="Calibri"/>
          <w:sz w:val="24"/>
          <w:szCs w:val="24"/>
          <w:highlight w:val="yellow"/>
        </w:rPr>
        <w:t>areas of interest]</w:t>
      </w:r>
    </w:p>
    <w:p w14:paraId="65C9B683" w14:textId="5B049CD3" w:rsidR="0080148A" w:rsidRPr="001B1DA7" w:rsidRDefault="0080148A" w:rsidP="001B1DA7">
      <w:pPr>
        <w:pStyle w:val="ListParagraph"/>
        <w:numPr>
          <w:ilvl w:val="0"/>
          <w:numId w:val="10"/>
        </w:numPr>
        <w:spacing w:before="120"/>
        <w:contextualSpacing w:val="0"/>
        <w:rPr>
          <w:rFonts w:eastAsia="Calibri"/>
          <w:i/>
          <w:sz w:val="24"/>
          <w:szCs w:val="24"/>
        </w:rPr>
      </w:pPr>
      <w:r w:rsidRPr="001B1DA7">
        <w:rPr>
          <w:rFonts w:eastAsia="Calibri"/>
          <w:i/>
          <w:sz w:val="24"/>
          <w:szCs w:val="24"/>
          <w:highlight w:val="yellow"/>
        </w:rPr>
        <w:t>On a voluntary and supplemental basis, please consider any hourly resource/demand analysis</w:t>
      </w:r>
      <w:r w:rsidR="0095470D" w:rsidRPr="001B1DA7">
        <w:rPr>
          <w:rFonts w:eastAsia="Calibri"/>
          <w:i/>
          <w:sz w:val="24"/>
          <w:szCs w:val="24"/>
          <w:highlight w:val="yellow"/>
        </w:rPr>
        <w:t xml:space="preserve"> (qualitative)</w:t>
      </w:r>
      <w:r w:rsidRPr="001B1DA7">
        <w:rPr>
          <w:rFonts w:eastAsia="Calibri"/>
          <w:i/>
          <w:sz w:val="24"/>
          <w:szCs w:val="24"/>
          <w:highlight w:val="yellow"/>
        </w:rPr>
        <w:t xml:space="preserve"> or data</w:t>
      </w:r>
      <w:r w:rsidR="0095470D" w:rsidRPr="001B1DA7">
        <w:rPr>
          <w:rFonts w:eastAsia="Calibri"/>
          <w:i/>
          <w:sz w:val="24"/>
          <w:szCs w:val="24"/>
          <w:highlight w:val="yellow"/>
        </w:rPr>
        <w:t xml:space="preserve"> (quantitative)</w:t>
      </w:r>
      <w:r w:rsidRPr="001B1DA7">
        <w:rPr>
          <w:rFonts w:eastAsia="Calibri"/>
          <w:i/>
          <w:sz w:val="24"/>
          <w:szCs w:val="24"/>
          <w:highlight w:val="yellow"/>
        </w:rPr>
        <w:t xml:space="preserve"> to support </w:t>
      </w:r>
      <w:r w:rsidR="00036531" w:rsidRPr="001B1DA7">
        <w:rPr>
          <w:rFonts w:eastAsia="Calibri"/>
          <w:i/>
          <w:sz w:val="24"/>
          <w:szCs w:val="24"/>
          <w:highlight w:val="yellow"/>
        </w:rPr>
        <w:t>the</w:t>
      </w:r>
      <w:r w:rsidRPr="001B1DA7">
        <w:rPr>
          <w:rFonts w:eastAsia="Calibri"/>
          <w:i/>
          <w:sz w:val="24"/>
          <w:szCs w:val="24"/>
          <w:highlight w:val="yellow"/>
        </w:rPr>
        <w:t xml:space="preserve"> response in describing the non-peak</w:t>
      </w:r>
      <w:r w:rsidR="00155732" w:rsidRPr="001B1DA7">
        <w:rPr>
          <w:rFonts w:eastAsia="Calibri"/>
          <w:i/>
          <w:sz w:val="24"/>
          <w:szCs w:val="24"/>
          <w:highlight w:val="yellow"/>
        </w:rPr>
        <w:t xml:space="preserve"> hour reliability</w:t>
      </w:r>
      <w:r w:rsidRPr="001B1DA7">
        <w:rPr>
          <w:rFonts w:eastAsia="Calibri"/>
          <w:i/>
          <w:sz w:val="24"/>
          <w:szCs w:val="24"/>
          <w:highlight w:val="yellow"/>
        </w:rPr>
        <w:t xml:space="preserve"> risks.</w:t>
      </w:r>
    </w:p>
    <w:p w14:paraId="45FA6AB9" w14:textId="7D2FBDEA" w:rsidR="00B5270E" w:rsidRPr="001B1DA7" w:rsidRDefault="00B5270E" w:rsidP="00B5270E">
      <w:pPr>
        <w:rPr>
          <w:rFonts w:eastAsia="Calibri"/>
          <w:sz w:val="24"/>
          <w:szCs w:val="24"/>
          <w:highlight w:val="yellow"/>
        </w:rPr>
      </w:pPr>
    </w:p>
    <w:p w14:paraId="349B969C" w14:textId="4A02B092" w:rsidR="00B5270E" w:rsidRPr="001B1DA7" w:rsidRDefault="00B5270E" w:rsidP="00B5270E">
      <w:pPr>
        <w:rPr>
          <w:rFonts w:eastAsia="Calibri"/>
          <w:b/>
          <w:sz w:val="24"/>
          <w:szCs w:val="24"/>
          <w:highlight w:val="yellow"/>
        </w:rPr>
      </w:pPr>
      <w:r w:rsidRPr="001B1DA7">
        <w:rPr>
          <w:rFonts w:eastAsia="Calibri"/>
          <w:b/>
          <w:sz w:val="24"/>
          <w:szCs w:val="24"/>
          <w:highlight w:val="yellow"/>
        </w:rPr>
        <w:t>Please describe any key methods and assumption differences between the 2020 LTRA and ProbA Assessments.</w:t>
      </w:r>
    </w:p>
    <w:p w14:paraId="1996B8AE" w14:textId="77777777" w:rsidR="00B5270E" w:rsidRPr="001B1DA7" w:rsidRDefault="00B5270E" w:rsidP="00B5270E">
      <w:pPr>
        <w:rPr>
          <w:rFonts w:eastAsia="Calibri"/>
          <w:sz w:val="24"/>
          <w:szCs w:val="24"/>
          <w:highlight w:val="yellow"/>
        </w:rPr>
      </w:pPr>
    </w:p>
    <w:p w14:paraId="030D6B7F" w14:textId="37771E21" w:rsidR="00880AF0" w:rsidRPr="001B1DA7" w:rsidRDefault="00236D3F" w:rsidP="003A67AA">
      <w:pPr>
        <w:spacing w:before="120"/>
        <w:rPr>
          <w:rFonts w:eastAsia="Calibri"/>
          <w:b/>
          <w:sz w:val="24"/>
          <w:szCs w:val="24"/>
        </w:rPr>
      </w:pPr>
      <w:r w:rsidRPr="001B1DA7">
        <w:rPr>
          <w:rFonts w:eastAsia="Calibri"/>
          <w:b/>
          <w:sz w:val="24"/>
          <w:szCs w:val="24"/>
        </w:rPr>
        <w:t xml:space="preserve">Describe any probabilistic resource adequacy studies conducted by your area </w:t>
      </w:r>
      <w:r w:rsidR="00880AF0" w:rsidRPr="001B1DA7">
        <w:rPr>
          <w:rFonts w:eastAsia="Calibri"/>
          <w:b/>
          <w:sz w:val="24"/>
          <w:szCs w:val="24"/>
        </w:rPr>
        <w:t xml:space="preserve">that address </w:t>
      </w:r>
      <w:r w:rsidR="00D4137A" w:rsidRPr="001B1DA7">
        <w:rPr>
          <w:rFonts w:eastAsia="Calibri"/>
          <w:b/>
          <w:sz w:val="24"/>
          <w:szCs w:val="24"/>
        </w:rPr>
        <w:t xml:space="preserve">Area </w:t>
      </w:r>
      <w:r w:rsidR="004B507C" w:rsidRPr="001B1DA7">
        <w:rPr>
          <w:rFonts w:eastAsia="Calibri"/>
          <w:b/>
          <w:sz w:val="24"/>
          <w:szCs w:val="24"/>
        </w:rPr>
        <w:t xml:space="preserve">reliability risk </w:t>
      </w:r>
      <w:r w:rsidR="00880AF0" w:rsidRPr="001B1DA7">
        <w:rPr>
          <w:rFonts w:eastAsia="Calibri"/>
          <w:b/>
          <w:sz w:val="24"/>
          <w:szCs w:val="24"/>
        </w:rPr>
        <w:t>driver</w:t>
      </w:r>
      <w:r w:rsidR="00D4137A" w:rsidRPr="001B1DA7">
        <w:rPr>
          <w:rFonts w:eastAsia="Calibri"/>
          <w:b/>
          <w:sz w:val="24"/>
          <w:szCs w:val="24"/>
        </w:rPr>
        <w:t>s</w:t>
      </w:r>
      <w:r w:rsidRPr="001B1DA7">
        <w:rPr>
          <w:rFonts w:eastAsia="Calibri"/>
          <w:b/>
          <w:sz w:val="24"/>
          <w:szCs w:val="24"/>
        </w:rPr>
        <w:t>.  Please consider the following, where applicable:</w:t>
      </w:r>
    </w:p>
    <w:p w14:paraId="5B354F19" w14:textId="1A5DD907" w:rsidR="00106B87" w:rsidRPr="001B1DA7" w:rsidRDefault="00880AF0" w:rsidP="001B1DA7">
      <w:pPr>
        <w:pStyle w:val="ListParagraph"/>
        <w:numPr>
          <w:ilvl w:val="0"/>
          <w:numId w:val="6"/>
        </w:numPr>
        <w:spacing w:before="120"/>
        <w:ind w:left="7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Descri</w:t>
      </w:r>
      <w:r w:rsidR="00106B87" w:rsidRPr="001B1DA7">
        <w:rPr>
          <w:rFonts w:eastAsia="Calibri"/>
          <w:sz w:val="24"/>
          <w:szCs w:val="24"/>
        </w:rPr>
        <w:t>ption of</w:t>
      </w:r>
      <w:r w:rsidRPr="001B1DA7">
        <w:rPr>
          <w:rFonts w:eastAsia="Calibri"/>
          <w:sz w:val="24"/>
          <w:szCs w:val="24"/>
        </w:rPr>
        <w:t xml:space="preserve"> the off-peak risk</w:t>
      </w:r>
    </w:p>
    <w:p w14:paraId="505551A7" w14:textId="32756EFB" w:rsidR="00880AF0" w:rsidRPr="001B1DA7" w:rsidRDefault="00106B87" w:rsidP="001B1DA7">
      <w:pPr>
        <w:pStyle w:val="ListParagraph"/>
        <w:numPr>
          <w:ilvl w:val="0"/>
          <w:numId w:val="6"/>
        </w:numPr>
        <w:spacing w:before="120"/>
        <w:ind w:left="7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Description of the purpose of the study, where/how applied and periodicity</w:t>
      </w:r>
    </w:p>
    <w:p w14:paraId="02B08A85" w14:textId="5AC3711E" w:rsidR="00F5727D" w:rsidRPr="001B1DA7" w:rsidRDefault="00F5727D" w:rsidP="001B1DA7">
      <w:pPr>
        <w:pStyle w:val="ListParagraph"/>
        <w:numPr>
          <w:ilvl w:val="0"/>
          <w:numId w:val="6"/>
        </w:numPr>
        <w:spacing w:before="120"/>
        <w:ind w:left="7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Provide an overview similar to the “Probabilistic vs. Deterministic Assessments” that relates this study to the Probabilistic Assessment.</w:t>
      </w:r>
    </w:p>
    <w:p w14:paraId="6816DAE8" w14:textId="2B0AEA9E" w:rsidR="00880AF0" w:rsidRPr="001B1DA7" w:rsidRDefault="00106B87" w:rsidP="001B1DA7">
      <w:pPr>
        <w:pStyle w:val="ListParagraph"/>
        <w:numPr>
          <w:ilvl w:val="0"/>
          <w:numId w:val="6"/>
        </w:numPr>
        <w:spacing w:before="120"/>
        <w:ind w:left="7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Please p</w:t>
      </w:r>
      <w:r w:rsidR="00880AF0" w:rsidRPr="001B1DA7">
        <w:rPr>
          <w:rFonts w:eastAsia="Calibri"/>
          <w:sz w:val="24"/>
          <w:szCs w:val="24"/>
        </w:rPr>
        <w:t xml:space="preserve">rovide </w:t>
      </w:r>
      <w:r w:rsidR="0040020A" w:rsidRPr="001B1DA7">
        <w:rPr>
          <w:rFonts w:eastAsia="Calibri"/>
          <w:sz w:val="24"/>
          <w:szCs w:val="24"/>
        </w:rPr>
        <w:t xml:space="preserve">a </w:t>
      </w:r>
      <w:r w:rsidR="00880AF0" w:rsidRPr="001B1DA7">
        <w:rPr>
          <w:rFonts w:eastAsia="Calibri"/>
          <w:sz w:val="24"/>
          <w:szCs w:val="24"/>
        </w:rPr>
        <w:t>link</w:t>
      </w:r>
      <w:r w:rsidR="0040020A" w:rsidRPr="001B1DA7">
        <w:rPr>
          <w:rFonts w:eastAsia="Calibri"/>
          <w:sz w:val="24"/>
          <w:szCs w:val="24"/>
        </w:rPr>
        <w:t>(s)</w:t>
      </w:r>
      <w:r w:rsidR="00880AF0" w:rsidRPr="001B1DA7">
        <w:rPr>
          <w:rFonts w:eastAsia="Calibri"/>
          <w:sz w:val="24"/>
          <w:szCs w:val="24"/>
        </w:rPr>
        <w:t xml:space="preserve"> to where the</w:t>
      </w:r>
      <w:r w:rsidR="00A070D3" w:rsidRPr="001B1DA7">
        <w:rPr>
          <w:rFonts w:eastAsia="Calibri"/>
          <w:sz w:val="24"/>
          <w:szCs w:val="24"/>
        </w:rPr>
        <w:t xml:space="preserve"> </w:t>
      </w:r>
      <w:r w:rsidR="00880AF0" w:rsidRPr="001B1DA7">
        <w:rPr>
          <w:rFonts w:eastAsia="Calibri"/>
          <w:sz w:val="24"/>
          <w:szCs w:val="24"/>
        </w:rPr>
        <w:t>studies are reported</w:t>
      </w:r>
      <w:r w:rsidR="00F5727D" w:rsidRPr="001B1DA7">
        <w:rPr>
          <w:rFonts w:eastAsia="Calibri"/>
          <w:sz w:val="24"/>
          <w:szCs w:val="24"/>
        </w:rPr>
        <w:t xml:space="preserve"> or published</w:t>
      </w:r>
    </w:p>
    <w:p w14:paraId="3494C739" w14:textId="4ED9164F" w:rsidR="002C22E7" w:rsidRPr="001B1DA7" w:rsidRDefault="00670171" w:rsidP="001B1DA7">
      <w:pPr>
        <w:pStyle w:val="ListParagraph"/>
        <w:numPr>
          <w:ilvl w:val="0"/>
          <w:numId w:val="6"/>
        </w:numPr>
        <w:spacing w:before="120"/>
        <w:ind w:left="7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  <w:highlight w:val="yellow"/>
        </w:rPr>
        <w:t>[</w:t>
      </w:r>
      <w:r w:rsidR="00B5270E" w:rsidRPr="001B1DA7">
        <w:rPr>
          <w:rFonts w:eastAsia="Calibri"/>
          <w:sz w:val="24"/>
          <w:szCs w:val="24"/>
        </w:rPr>
        <w:t>Other a</w:t>
      </w:r>
      <w:r w:rsidR="002C22E7" w:rsidRPr="001B1DA7">
        <w:rPr>
          <w:rFonts w:eastAsia="Calibri"/>
          <w:sz w:val="24"/>
          <w:szCs w:val="24"/>
        </w:rPr>
        <w:t>reas of interest]</w:t>
      </w:r>
    </w:p>
    <w:p w14:paraId="214BBBFF" w14:textId="4D922C17" w:rsidR="00880AF0" w:rsidRPr="001B1DA7" w:rsidRDefault="00880AF0" w:rsidP="003A67AA">
      <w:pPr>
        <w:spacing w:before="120"/>
        <w:rPr>
          <w:rFonts w:eastAsia="Calibri"/>
          <w:sz w:val="24"/>
          <w:szCs w:val="24"/>
        </w:rPr>
      </w:pPr>
    </w:p>
    <w:p w14:paraId="2D21A2F5" w14:textId="748F2D2F" w:rsidR="002A7C49" w:rsidRPr="001B1DA7" w:rsidRDefault="000C2F85" w:rsidP="003A67AA">
      <w:pPr>
        <w:spacing w:before="120"/>
        <w:rPr>
          <w:rFonts w:eastAsia="Calibri"/>
          <w:sz w:val="24"/>
          <w:szCs w:val="24"/>
        </w:rPr>
      </w:pPr>
      <w:r w:rsidRPr="001B1DA7">
        <w:rPr>
          <w:rFonts w:eastAsia="Calibri"/>
          <w:b/>
          <w:sz w:val="24"/>
          <w:szCs w:val="24"/>
        </w:rPr>
        <w:t>I</w:t>
      </w:r>
      <w:r w:rsidR="00F10C4D" w:rsidRPr="001B1DA7">
        <w:rPr>
          <w:rFonts w:eastAsia="Calibri"/>
          <w:b/>
          <w:sz w:val="24"/>
          <w:szCs w:val="24"/>
        </w:rPr>
        <w:t xml:space="preserve">f </w:t>
      </w:r>
      <w:r w:rsidR="00F953E1" w:rsidRPr="001B1DA7">
        <w:rPr>
          <w:rFonts w:eastAsia="Calibri"/>
          <w:b/>
          <w:sz w:val="24"/>
          <w:szCs w:val="24"/>
        </w:rPr>
        <w:t xml:space="preserve">the </w:t>
      </w:r>
      <w:r w:rsidR="003F59C3" w:rsidRPr="001B1DA7">
        <w:rPr>
          <w:rFonts w:eastAsia="Calibri"/>
          <w:b/>
          <w:sz w:val="24"/>
          <w:szCs w:val="24"/>
        </w:rPr>
        <w:t>Probabilistic Base C</w:t>
      </w:r>
      <w:r w:rsidR="00F10C4D" w:rsidRPr="001B1DA7">
        <w:rPr>
          <w:rFonts w:eastAsia="Calibri"/>
          <w:b/>
          <w:sz w:val="24"/>
          <w:szCs w:val="24"/>
        </w:rPr>
        <w:t xml:space="preserve">ase </w:t>
      </w:r>
      <w:r w:rsidR="00E73F95" w:rsidRPr="001B1DA7">
        <w:rPr>
          <w:rFonts w:eastAsia="Calibri"/>
          <w:b/>
          <w:sz w:val="24"/>
          <w:szCs w:val="24"/>
        </w:rPr>
        <w:t xml:space="preserve">results do not indicate loss of load metrics </w:t>
      </w:r>
      <w:r w:rsidR="00F10C4D" w:rsidRPr="001B1DA7">
        <w:rPr>
          <w:rFonts w:eastAsia="Calibri"/>
          <w:b/>
          <w:sz w:val="24"/>
          <w:szCs w:val="24"/>
        </w:rPr>
        <w:t>in or outside</w:t>
      </w:r>
      <w:r w:rsidR="00E73F95" w:rsidRPr="001B1DA7">
        <w:rPr>
          <w:rFonts w:eastAsia="Calibri"/>
          <w:b/>
          <w:sz w:val="24"/>
          <w:szCs w:val="24"/>
        </w:rPr>
        <w:t xml:space="preserve"> of</w:t>
      </w:r>
      <w:r w:rsidR="00F10C4D" w:rsidRPr="001B1DA7">
        <w:rPr>
          <w:rFonts w:eastAsia="Calibri"/>
          <w:b/>
          <w:sz w:val="24"/>
          <w:szCs w:val="24"/>
        </w:rPr>
        <w:t xml:space="preserve"> the </w:t>
      </w:r>
      <w:r w:rsidR="00E73F95" w:rsidRPr="001B1DA7">
        <w:rPr>
          <w:rFonts w:eastAsia="Calibri"/>
          <w:b/>
          <w:sz w:val="24"/>
          <w:szCs w:val="24"/>
        </w:rPr>
        <w:t>on-</w:t>
      </w:r>
      <w:r w:rsidR="00F10C4D" w:rsidRPr="001B1DA7">
        <w:rPr>
          <w:rFonts w:eastAsia="Calibri"/>
          <w:b/>
          <w:sz w:val="24"/>
          <w:szCs w:val="24"/>
        </w:rPr>
        <w:t>peak hour</w:t>
      </w:r>
      <w:r w:rsidR="00E73F95" w:rsidRPr="001B1DA7">
        <w:rPr>
          <w:rFonts w:eastAsia="Calibri"/>
          <w:b/>
          <w:sz w:val="24"/>
          <w:szCs w:val="24"/>
        </w:rPr>
        <w:t xml:space="preserve">, </w:t>
      </w:r>
      <w:r w:rsidR="007F2352" w:rsidRPr="001B1DA7">
        <w:rPr>
          <w:rFonts w:eastAsia="Calibri"/>
          <w:b/>
          <w:sz w:val="24"/>
          <w:szCs w:val="24"/>
        </w:rPr>
        <w:t xml:space="preserve">an additional narrative </w:t>
      </w:r>
      <w:r w:rsidR="002A7C49" w:rsidRPr="001B1DA7">
        <w:rPr>
          <w:rFonts w:eastAsia="Calibri"/>
          <w:b/>
          <w:sz w:val="24"/>
          <w:szCs w:val="24"/>
        </w:rPr>
        <w:t>response</w:t>
      </w:r>
      <w:r w:rsidR="007F2352" w:rsidRPr="001B1DA7">
        <w:rPr>
          <w:rFonts w:eastAsia="Calibri"/>
          <w:b/>
          <w:sz w:val="24"/>
          <w:szCs w:val="24"/>
        </w:rPr>
        <w:t xml:space="preserve"> is not required.  </w:t>
      </w:r>
      <w:r w:rsidR="007F2352" w:rsidRPr="001B1DA7">
        <w:rPr>
          <w:rFonts w:eastAsia="Calibri"/>
          <w:sz w:val="24"/>
          <w:szCs w:val="24"/>
        </w:rPr>
        <w:t>On a voluntary basis</w:t>
      </w:r>
      <w:r w:rsidR="002A7C49" w:rsidRPr="001B1DA7">
        <w:rPr>
          <w:rFonts w:eastAsia="Calibri"/>
          <w:sz w:val="24"/>
          <w:szCs w:val="24"/>
        </w:rPr>
        <w:t>,</w:t>
      </w:r>
      <w:r w:rsidR="007F2352" w:rsidRPr="001B1DA7">
        <w:rPr>
          <w:rFonts w:eastAsia="Calibri"/>
          <w:sz w:val="24"/>
          <w:szCs w:val="24"/>
        </w:rPr>
        <w:t xml:space="preserve"> </w:t>
      </w:r>
      <w:r w:rsidR="00E73F95" w:rsidRPr="001B1DA7">
        <w:rPr>
          <w:rFonts w:eastAsia="Calibri"/>
          <w:sz w:val="24"/>
          <w:szCs w:val="24"/>
        </w:rPr>
        <w:t xml:space="preserve">please </w:t>
      </w:r>
      <w:r w:rsidR="002A7C49" w:rsidRPr="001B1DA7">
        <w:rPr>
          <w:rFonts w:eastAsia="Calibri"/>
          <w:sz w:val="24"/>
          <w:szCs w:val="24"/>
        </w:rPr>
        <w:t>explain or describe the following as applicable:</w:t>
      </w:r>
    </w:p>
    <w:p w14:paraId="6E38FD69" w14:textId="4AE985F4" w:rsidR="002A7C49" w:rsidRPr="001B1DA7" w:rsidRDefault="002A7C49" w:rsidP="001B1DA7">
      <w:pPr>
        <w:pStyle w:val="ListParagraph"/>
        <w:numPr>
          <w:ilvl w:val="0"/>
          <w:numId w:val="8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Time periods of (low hourly margin between projected resources and demand</w:t>
      </w:r>
      <w:r w:rsidR="00507F49" w:rsidRPr="001B1DA7">
        <w:rPr>
          <w:rFonts w:eastAsia="Calibri"/>
          <w:sz w:val="24"/>
          <w:szCs w:val="24"/>
        </w:rPr>
        <w:t>)</w:t>
      </w:r>
    </w:p>
    <w:p w14:paraId="7F3A5800" w14:textId="08DBE243" w:rsidR="002A7C49" w:rsidRPr="001B1DA7" w:rsidRDefault="002A7C49" w:rsidP="001B1DA7">
      <w:pPr>
        <w:pStyle w:val="ListParagraph"/>
        <w:numPr>
          <w:ilvl w:val="0"/>
          <w:numId w:val="8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System characteristics, programs, </w:t>
      </w:r>
      <w:r w:rsidR="001B1DA7" w:rsidRPr="001B1DA7">
        <w:rPr>
          <w:rFonts w:eastAsia="Calibri"/>
          <w:sz w:val="24"/>
          <w:szCs w:val="24"/>
        </w:rPr>
        <w:t>initiatives,</w:t>
      </w:r>
      <w:r w:rsidRPr="001B1DA7">
        <w:rPr>
          <w:rFonts w:eastAsia="Calibri"/>
          <w:sz w:val="24"/>
          <w:szCs w:val="24"/>
        </w:rPr>
        <w:t xml:space="preserve"> and/or market design constructs that</w:t>
      </w:r>
      <w:r w:rsidR="00F5727D" w:rsidRPr="001B1DA7">
        <w:rPr>
          <w:rFonts w:eastAsia="Calibri"/>
          <w:sz w:val="24"/>
          <w:szCs w:val="24"/>
        </w:rPr>
        <w:t xml:space="preserve"> may be </w:t>
      </w:r>
      <w:r w:rsidRPr="001B1DA7">
        <w:rPr>
          <w:rFonts w:eastAsia="Calibri"/>
          <w:sz w:val="24"/>
          <w:szCs w:val="24"/>
        </w:rPr>
        <w:t xml:space="preserve">contributing to zero loss </w:t>
      </w:r>
      <w:r w:rsidR="00F5727D" w:rsidRPr="001B1DA7">
        <w:rPr>
          <w:rFonts w:eastAsia="Calibri"/>
          <w:sz w:val="24"/>
          <w:szCs w:val="24"/>
        </w:rPr>
        <w:t xml:space="preserve">of load metrics in or outside the peak hour. </w:t>
      </w:r>
    </w:p>
    <w:p w14:paraId="43FACAE7" w14:textId="1DD637F9" w:rsidR="00F10C4D" w:rsidRPr="001B1DA7" w:rsidRDefault="002A7C49" w:rsidP="001B1DA7">
      <w:pPr>
        <w:pStyle w:val="ListParagraph"/>
        <w:numPr>
          <w:ilvl w:val="0"/>
          <w:numId w:val="8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If applicable, please p</w:t>
      </w:r>
      <w:r w:rsidR="00F5727D" w:rsidRPr="001B1DA7">
        <w:rPr>
          <w:rFonts w:eastAsia="Calibri"/>
          <w:sz w:val="24"/>
          <w:szCs w:val="24"/>
        </w:rPr>
        <w:t xml:space="preserve">rovide </w:t>
      </w:r>
      <w:r w:rsidRPr="001B1DA7">
        <w:rPr>
          <w:rFonts w:eastAsia="Calibri"/>
          <w:sz w:val="24"/>
          <w:szCs w:val="24"/>
        </w:rPr>
        <w:t xml:space="preserve">sufficient </w:t>
      </w:r>
      <w:r w:rsidR="00F5727D" w:rsidRPr="001B1DA7">
        <w:rPr>
          <w:rFonts w:eastAsia="Calibri"/>
          <w:sz w:val="24"/>
          <w:szCs w:val="24"/>
        </w:rPr>
        <w:t xml:space="preserve">information to </w:t>
      </w:r>
      <w:r w:rsidRPr="001B1DA7">
        <w:rPr>
          <w:rFonts w:eastAsia="Calibri"/>
          <w:sz w:val="24"/>
          <w:szCs w:val="24"/>
        </w:rPr>
        <w:t xml:space="preserve">explain or highlight how </w:t>
      </w:r>
      <w:r w:rsidR="00F5727D" w:rsidRPr="001B1DA7">
        <w:rPr>
          <w:rFonts w:eastAsia="Calibri"/>
          <w:sz w:val="24"/>
          <w:szCs w:val="24"/>
        </w:rPr>
        <w:t xml:space="preserve">the Assessment Area </w:t>
      </w:r>
      <w:r w:rsidRPr="001B1DA7">
        <w:rPr>
          <w:rFonts w:eastAsia="Calibri"/>
          <w:sz w:val="24"/>
          <w:szCs w:val="24"/>
        </w:rPr>
        <w:t>has addressed resource adequacy concerns in previous probabilistic assessments or studies</w:t>
      </w:r>
      <w:r w:rsidR="00F5727D" w:rsidRPr="001B1DA7">
        <w:rPr>
          <w:rFonts w:eastAsia="Calibri"/>
          <w:sz w:val="24"/>
          <w:szCs w:val="24"/>
        </w:rPr>
        <w:t>.</w:t>
      </w:r>
    </w:p>
    <w:p w14:paraId="5CF98B3A" w14:textId="6C5F184B" w:rsidR="003368AD" w:rsidRPr="001B1DA7" w:rsidRDefault="003368AD" w:rsidP="001B1DA7">
      <w:pPr>
        <w:pStyle w:val="ListParagraph"/>
        <w:numPr>
          <w:ilvl w:val="0"/>
          <w:numId w:val="8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[Other areas of interest]</w:t>
      </w:r>
    </w:p>
    <w:p w14:paraId="5A47CD4B" w14:textId="4B008DA1" w:rsidR="001D0482" w:rsidRPr="001B1DA7" w:rsidRDefault="001D0482" w:rsidP="003A67AA">
      <w:pPr>
        <w:spacing w:before="120"/>
        <w:rPr>
          <w:rFonts w:eastAsia="Calibri"/>
          <w:sz w:val="24"/>
          <w:szCs w:val="24"/>
        </w:rPr>
      </w:pPr>
    </w:p>
    <w:p w14:paraId="18A56A41" w14:textId="4775CEAB" w:rsidR="009964F9" w:rsidRPr="001B1DA7" w:rsidRDefault="009964F9" w:rsidP="009964F9">
      <w:pPr>
        <w:keepNext/>
        <w:pBdr>
          <w:bottom w:val="single" w:sz="4" w:space="1" w:color="5D85A9"/>
        </w:pBdr>
        <w:rPr>
          <w:rFonts w:eastAsia="Calibri"/>
          <w:b/>
          <w:color w:val="1F497D"/>
          <w:sz w:val="24"/>
          <w:szCs w:val="24"/>
        </w:rPr>
      </w:pPr>
      <w:r w:rsidRPr="001B1DA7">
        <w:rPr>
          <w:rFonts w:eastAsia="Calibri"/>
          <w:b/>
          <w:color w:val="1F497D"/>
          <w:sz w:val="24"/>
          <w:szCs w:val="24"/>
        </w:rPr>
        <w:lastRenderedPageBreak/>
        <w:t>Regional Risk Scenario</w:t>
      </w:r>
    </w:p>
    <w:p w14:paraId="55A110B7" w14:textId="0449B819" w:rsidR="009964F9" w:rsidRPr="001B1DA7" w:rsidRDefault="00D90E9D" w:rsidP="009964F9">
      <w:pPr>
        <w:spacing w:before="12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Please u</w:t>
      </w:r>
      <w:r w:rsidR="009964F9" w:rsidRPr="001B1DA7">
        <w:rPr>
          <w:rFonts w:eastAsia="Calibri"/>
          <w:sz w:val="24"/>
          <w:szCs w:val="24"/>
        </w:rPr>
        <w:t xml:space="preserve">se this space to </w:t>
      </w:r>
      <w:r w:rsidR="001D0482" w:rsidRPr="001B1DA7">
        <w:rPr>
          <w:rFonts w:eastAsia="Calibri"/>
          <w:sz w:val="24"/>
          <w:szCs w:val="24"/>
        </w:rPr>
        <w:t>describe</w:t>
      </w:r>
      <w:r w:rsidR="009964F9" w:rsidRPr="001B1DA7">
        <w:rPr>
          <w:rFonts w:eastAsia="Calibri"/>
          <w:sz w:val="24"/>
          <w:szCs w:val="24"/>
        </w:rPr>
        <w:t xml:space="preserve"> </w:t>
      </w:r>
      <w:r w:rsidR="00C432B3" w:rsidRPr="001B1DA7">
        <w:rPr>
          <w:rFonts w:eastAsia="Calibri"/>
          <w:sz w:val="24"/>
          <w:szCs w:val="24"/>
        </w:rPr>
        <w:t xml:space="preserve">and detail </w:t>
      </w:r>
      <w:r w:rsidR="009964F9" w:rsidRPr="001B1DA7">
        <w:rPr>
          <w:rFonts w:eastAsia="Calibri"/>
          <w:sz w:val="24"/>
          <w:szCs w:val="24"/>
        </w:rPr>
        <w:t xml:space="preserve">the </w:t>
      </w:r>
      <w:r w:rsidR="001D0482" w:rsidRPr="001B1DA7">
        <w:rPr>
          <w:rFonts w:eastAsia="Calibri"/>
          <w:sz w:val="24"/>
          <w:szCs w:val="24"/>
        </w:rPr>
        <w:t>pre-</w:t>
      </w:r>
      <w:r w:rsidR="009964F9" w:rsidRPr="001B1DA7">
        <w:rPr>
          <w:rFonts w:eastAsia="Calibri"/>
          <w:sz w:val="24"/>
          <w:szCs w:val="24"/>
        </w:rPr>
        <w:t xml:space="preserve">selected </w:t>
      </w:r>
      <w:r w:rsidRPr="001B1DA7">
        <w:rPr>
          <w:rFonts w:eastAsia="Calibri"/>
          <w:sz w:val="24"/>
          <w:szCs w:val="24"/>
        </w:rPr>
        <w:t xml:space="preserve">2020 ProbA </w:t>
      </w:r>
      <w:r w:rsidR="009964F9" w:rsidRPr="001B1DA7">
        <w:rPr>
          <w:rFonts w:eastAsia="Calibri"/>
          <w:sz w:val="24"/>
          <w:szCs w:val="24"/>
        </w:rPr>
        <w:t>Regional Risk Scenario.</w:t>
      </w:r>
      <w:r w:rsidR="003F59C3" w:rsidRPr="001B1DA7">
        <w:rPr>
          <w:rFonts w:eastAsia="Calibri"/>
          <w:sz w:val="24"/>
          <w:szCs w:val="24"/>
        </w:rPr>
        <w:t xml:space="preserve"> If applicable, please describe the differences between the Base Case and the Regional Risk Scenario akin to the “Probabilistic vs. Deterministic” section above.</w:t>
      </w:r>
      <w:r w:rsidR="00AE4A3A" w:rsidRPr="001B1DA7">
        <w:rPr>
          <w:rFonts w:eastAsia="Calibri"/>
          <w:sz w:val="24"/>
          <w:szCs w:val="24"/>
        </w:rPr>
        <w:t xml:space="preserve"> </w:t>
      </w:r>
      <w:r w:rsidR="00837004" w:rsidRPr="001B1DA7">
        <w:rPr>
          <w:rFonts w:eastAsia="Calibri"/>
          <w:sz w:val="24"/>
          <w:szCs w:val="24"/>
        </w:rPr>
        <w:t>Responses</w:t>
      </w:r>
      <w:r w:rsidR="00AE4A3A" w:rsidRPr="001B1DA7">
        <w:rPr>
          <w:rFonts w:eastAsia="Calibri"/>
          <w:sz w:val="24"/>
          <w:szCs w:val="24"/>
        </w:rPr>
        <w:t xml:space="preserve"> </w:t>
      </w:r>
      <w:r w:rsidR="00837004" w:rsidRPr="001B1DA7">
        <w:rPr>
          <w:rFonts w:eastAsia="Calibri"/>
          <w:sz w:val="24"/>
          <w:szCs w:val="24"/>
        </w:rPr>
        <w:t>should consider</w:t>
      </w:r>
      <w:r w:rsidR="00AB3404" w:rsidRPr="001B1DA7">
        <w:rPr>
          <w:rFonts w:eastAsia="Calibri"/>
          <w:sz w:val="24"/>
          <w:szCs w:val="24"/>
        </w:rPr>
        <w:t>:</w:t>
      </w:r>
    </w:p>
    <w:p w14:paraId="28C52CE7" w14:textId="26D77ED5" w:rsidR="009964F9" w:rsidRPr="001B1DA7" w:rsidRDefault="009964F9" w:rsidP="001B1DA7">
      <w:pPr>
        <w:pStyle w:val="ListParagraph"/>
        <w:numPr>
          <w:ilvl w:val="0"/>
          <w:numId w:val="3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Why </w:t>
      </w:r>
      <w:r w:rsidR="00D210BC" w:rsidRPr="001B1DA7">
        <w:rPr>
          <w:rFonts w:eastAsia="Calibri"/>
          <w:sz w:val="24"/>
          <w:szCs w:val="24"/>
        </w:rPr>
        <w:t>the specific s</w:t>
      </w:r>
      <w:r w:rsidRPr="001B1DA7">
        <w:rPr>
          <w:rFonts w:eastAsia="Calibri"/>
          <w:sz w:val="24"/>
          <w:szCs w:val="24"/>
        </w:rPr>
        <w:t xml:space="preserve">cenario was chosen for </w:t>
      </w:r>
      <w:r w:rsidR="00765A38" w:rsidRPr="001B1DA7">
        <w:rPr>
          <w:rFonts w:eastAsia="Calibri"/>
          <w:sz w:val="24"/>
          <w:szCs w:val="24"/>
        </w:rPr>
        <w:t xml:space="preserve">this </w:t>
      </w:r>
      <w:r w:rsidRPr="001B1DA7">
        <w:rPr>
          <w:rFonts w:eastAsia="Calibri"/>
          <w:sz w:val="24"/>
          <w:szCs w:val="24"/>
        </w:rPr>
        <w:t>Assessment Area</w:t>
      </w:r>
    </w:p>
    <w:p w14:paraId="34298A3F" w14:textId="739043D1" w:rsidR="008C4656" w:rsidRPr="001B1DA7" w:rsidRDefault="00D90E9D" w:rsidP="001B1DA7">
      <w:pPr>
        <w:pStyle w:val="ListParagraph"/>
        <w:numPr>
          <w:ilvl w:val="0"/>
          <w:numId w:val="3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Overview </w:t>
      </w:r>
      <w:r w:rsidR="00AE4A3A" w:rsidRPr="001B1DA7">
        <w:rPr>
          <w:rFonts w:eastAsia="Calibri"/>
          <w:sz w:val="24"/>
          <w:szCs w:val="24"/>
        </w:rPr>
        <w:t>methodology or assumptions intended for the Regional Risk Scenario</w:t>
      </w:r>
    </w:p>
    <w:p w14:paraId="07CBF6D1" w14:textId="6A2DC86E" w:rsidR="00B87B9F" w:rsidRPr="001B1DA7" w:rsidRDefault="00C04CFC" w:rsidP="001B1DA7">
      <w:pPr>
        <w:pStyle w:val="ListParagraph"/>
        <w:numPr>
          <w:ilvl w:val="0"/>
          <w:numId w:val="3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Why the</w:t>
      </w:r>
      <w:r w:rsidR="00B87B9F" w:rsidRPr="001B1DA7">
        <w:rPr>
          <w:rFonts w:eastAsia="Calibri"/>
          <w:sz w:val="24"/>
          <w:szCs w:val="24"/>
        </w:rPr>
        <w:t xml:space="preserve"> Regional Risk Scenario Study Years</w:t>
      </w:r>
      <w:r w:rsidRPr="001B1DA7">
        <w:rPr>
          <w:rFonts w:eastAsia="Calibri"/>
          <w:sz w:val="24"/>
          <w:szCs w:val="24"/>
        </w:rPr>
        <w:t xml:space="preserve"> were selected</w:t>
      </w:r>
      <w:r w:rsidR="00D90E9D" w:rsidRPr="001B1DA7">
        <w:rPr>
          <w:rFonts w:eastAsia="Calibri"/>
          <w:sz w:val="24"/>
          <w:szCs w:val="24"/>
        </w:rPr>
        <w:t xml:space="preserve"> </w:t>
      </w:r>
      <w:r w:rsidR="00D90E9D" w:rsidRPr="001B1DA7">
        <w:rPr>
          <w:rFonts w:eastAsia="Calibri"/>
          <w:i/>
          <w:sz w:val="24"/>
          <w:szCs w:val="24"/>
        </w:rPr>
        <w:t>(</w:t>
      </w:r>
      <w:r w:rsidRPr="001B1DA7">
        <w:rPr>
          <w:rFonts w:eastAsia="Calibri"/>
          <w:i/>
          <w:sz w:val="24"/>
          <w:szCs w:val="24"/>
        </w:rPr>
        <w:t xml:space="preserve">e.g. </w:t>
      </w:r>
      <w:r w:rsidR="00DC3522" w:rsidRPr="001B1DA7">
        <w:rPr>
          <w:rFonts w:eastAsia="Calibri"/>
          <w:i/>
          <w:sz w:val="24"/>
          <w:szCs w:val="24"/>
        </w:rPr>
        <w:t>“</w:t>
      </w:r>
      <w:r w:rsidR="00D90E9D" w:rsidRPr="001B1DA7">
        <w:rPr>
          <w:rFonts w:eastAsia="Calibri"/>
          <w:i/>
          <w:sz w:val="24"/>
          <w:szCs w:val="24"/>
        </w:rPr>
        <w:t>Years 2 and 4</w:t>
      </w:r>
      <w:r w:rsidR="00DC3522" w:rsidRPr="001B1DA7">
        <w:rPr>
          <w:rFonts w:eastAsia="Calibri"/>
          <w:i/>
          <w:sz w:val="24"/>
          <w:szCs w:val="24"/>
        </w:rPr>
        <w:t>”</w:t>
      </w:r>
      <w:r w:rsidR="00D90E9D" w:rsidRPr="001B1DA7">
        <w:rPr>
          <w:rFonts w:eastAsia="Calibri"/>
          <w:i/>
          <w:sz w:val="24"/>
          <w:szCs w:val="24"/>
        </w:rPr>
        <w:t xml:space="preserve"> versus </w:t>
      </w:r>
      <w:r w:rsidR="00DC3522" w:rsidRPr="001B1DA7">
        <w:rPr>
          <w:rFonts w:eastAsia="Calibri"/>
          <w:i/>
          <w:sz w:val="24"/>
          <w:szCs w:val="24"/>
        </w:rPr>
        <w:t>“</w:t>
      </w:r>
      <w:r w:rsidR="00D90E9D" w:rsidRPr="001B1DA7">
        <w:rPr>
          <w:rFonts w:eastAsia="Calibri"/>
          <w:i/>
          <w:sz w:val="24"/>
          <w:szCs w:val="24"/>
        </w:rPr>
        <w:t>Year 4 only</w:t>
      </w:r>
      <w:r w:rsidR="00DC3522" w:rsidRPr="001B1DA7">
        <w:rPr>
          <w:rFonts w:eastAsia="Calibri"/>
          <w:i/>
          <w:sz w:val="24"/>
          <w:szCs w:val="24"/>
        </w:rPr>
        <w:t>”</w:t>
      </w:r>
      <w:r w:rsidR="00D90E9D" w:rsidRPr="001B1DA7">
        <w:rPr>
          <w:rFonts w:eastAsia="Calibri"/>
          <w:i/>
          <w:sz w:val="24"/>
          <w:szCs w:val="24"/>
        </w:rPr>
        <w:t>)</w:t>
      </w:r>
    </w:p>
    <w:p w14:paraId="66C46773" w14:textId="665BF345" w:rsidR="009964F9" w:rsidRPr="001B1DA7" w:rsidRDefault="00A55F16" w:rsidP="001B1DA7">
      <w:pPr>
        <w:pStyle w:val="ListParagraph"/>
        <w:numPr>
          <w:ilvl w:val="0"/>
          <w:numId w:val="3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Any issues</w:t>
      </w:r>
      <w:r w:rsidR="00060BDE" w:rsidRPr="001B1DA7">
        <w:rPr>
          <w:rFonts w:eastAsia="Calibri"/>
          <w:sz w:val="24"/>
          <w:szCs w:val="24"/>
        </w:rPr>
        <w:t xml:space="preserve"> or items to note</w:t>
      </w:r>
      <w:r w:rsidRPr="001B1DA7">
        <w:rPr>
          <w:rFonts w:eastAsia="Calibri"/>
          <w:sz w:val="24"/>
          <w:szCs w:val="24"/>
        </w:rPr>
        <w:t xml:space="preserve"> pertaining to the changing resource mix for the study years selected</w:t>
      </w:r>
    </w:p>
    <w:p w14:paraId="20C73798" w14:textId="39514E06" w:rsidR="00F10C4D" w:rsidRPr="001B1DA7" w:rsidRDefault="00BE2E58" w:rsidP="001B1DA7">
      <w:pPr>
        <w:pStyle w:val="ListParagraph"/>
        <w:numPr>
          <w:ilvl w:val="0"/>
          <w:numId w:val="3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If applicable, h</w:t>
      </w:r>
      <w:r w:rsidR="006857EB" w:rsidRPr="001B1DA7">
        <w:rPr>
          <w:rFonts w:eastAsia="Calibri"/>
          <w:sz w:val="24"/>
          <w:szCs w:val="24"/>
        </w:rPr>
        <w:t xml:space="preserve">ow does this </w:t>
      </w:r>
      <w:r w:rsidR="007A4FFB" w:rsidRPr="001B1DA7">
        <w:rPr>
          <w:rFonts w:eastAsia="Calibri"/>
          <w:sz w:val="24"/>
          <w:szCs w:val="24"/>
        </w:rPr>
        <w:t>Regional R</w:t>
      </w:r>
      <w:r w:rsidR="006857EB" w:rsidRPr="001B1DA7">
        <w:rPr>
          <w:rFonts w:eastAsia="Calibri"/>
          <w:sz w:val="24"/>
          <w:szCs w:val="24"/>
        </w:rPr>
        <w:t>isk scenario address</w:t>
      </w:r>
      <w:r w:rsidR="00F10C4D" w:rsidRPr="001B1DA7">
        <w:rPr>
          <w:rFonts w:eastAsia="Calibri"/>
          <w:sz w:val="24"/>
          <w:szCs w:val="24"/>
        </w:rPr>
        <w:t xml:space="preserve"> </w:t>
      </w:r>
      <w:r w:rsidRPr="001B1DA7">
        <w:rPr>
          <w:rFonts w:eastAsia="Calibri"/>
          <w:sz w:val="24"/>
          <w:szCs w:val="24"/>
        </w:rPr>
        <w:t>Energy Adequacy</w:t>
      </w:r>
      <w:r w:rsidR="006857EB" w:rsidRPr="001B1DA7">
        <w:rPr>
          <w:rFonts w:eastAsia="Calibri"/>
          <w:sz w:val="24"/>
          <w:szCs w:val="24"/>
        </w:rPr>
        <w:t xml:space="preserve"> concerns or off-peak hour risks</w:t>
      </w:r>
      <w:r w:rsidRPr="001B1DA7">
        <w:rPr>
          <w:rFonts w:eastAsia="Calibri"/>
          <w:sz w:val="24"/>
          <w:szCs w:val="24"/>
        </w:rPr>
        <w:t xml:space="preserve"> </w:t>
      </w:r>
    </w:p>
    <w:p w14:paraId="6EE43FAE" w14:textId="7F563815" w:rsidR="00564D53" w:rsidRPr="001B1DA7" w:rsidRDefault="003368AD" w:rsidP="001B1DA7">
      <w:pPr>
        <w:pStyle w:val="ListParagraph"/>
        <w:numPr>
          <w:ilvl w:val="0"/>
          <w:numId w:val="3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 xml:space="preserve">If applicable, describe if the selected </w:t>
      </w:r>
      <w:r w:rsidR="00564D53" w:rsidRPr="001B1DA7">
        <w:rPr>
          <w:rFonts w:eastAsia="Calibri"/>
          <w:sz w:val="24"/>
          <w:szCs w:val="24"/>
        </w:rPr>
        <w:t xml:space="preserve">Regional Risk Scenario </w:t>
      </w:r>
      <w:r w:rsidRPr="001B1DA7">
        <w:rPr>
          <w:rFonts w:eastAsia="Calibri"/>
          <w:sz w:val="24"/>
          <w:szCs w:val="24"/>
        </w:rPr>
        <w:t xml:space="preserve">was </w:t>
      </w:r>
      <w:r w:rsidR="00564D53" w:rsidRPr="001B1DA7">
        <w:rPr>
          <w:rFonts w:eastAsia="Calibri"/>
          <w:sz w:val="24"/>
          <w:szCs w:val="24"/>
        </w:rPr>
        <w:t xml:space="preserve">informed by risk seen in </w:t>
      </w:r>
      <w:r w:rsidR="00EE07ED" w:rsidRPr="001B1DA7">
        <w:rPr>
          <w:rFonts w:eastAsia="Calibri"/>
          <w:sz w:val="24"/>
          <w:szCs w:val="24"/>
        </w:rPr>
        <w:t xml:space="preserve">a </w:t>
      </w:r>
      <w:r w:rsidR="00564D53" w:rsidRPr="001B1DA7">
        <w:rPr>
          <w:rFonts w:eastAsia="Calibri"/>
          <w:sz w:val="24"/>
          <w:szCs w:val="24"/>
        </w:rPr>
        <w:t>previous Long Term Reliability Assessments or Probabilistic Assessments</w:t>
      </w:r>
    </w:p>
    <w:p w14:paraId="29B27B23" w14:textId="063DC53F" w:rsidR="002A4800" w:rsidRPr="001B1DA7" w:rsidRDefault="002A4800" w:rsidP="001B1DA7">
      <w:pPr>
        <w:pStyle w:val="ListParagraph"/>
        <w:numPr>
          <w:ilvl w:val="0"/>
          <w:numId w:val="3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  <w:highlight w:val="yellow"/>
        </w:rPr>
        <w:t>Any key methods and assumptions differences with the 2020 ProbA Base Case and LTRA</w:t>
      </w:r>
      <w:r w:rsidRPr="001B1DA7">
        <w:rPr>
          <w:rFonts w:eastAsia="Calibri"/>
          <w:sz w:val="24"/>
          <w:szCs w:val="24"/>
        </w:rPr>
        <w:t xml:space="preserve"> </w:t>
      </w:r>
    </w:p>
    <w:p w14:paraId="4C9C062A" w14:textId="23B4A042" w:rsidR="009964F9" w:rsidRPr="001B1DA7" w:rsidRDefault="00F721AE" w:rsidP="001B1DA7">
      <w:pPr>
        <w:pStyle w:val="ListParagraph"/>
        <w:numPr>
          <w:ilvl w:val="0"/>
          <w:numId w:val="3"/>
        </w:numPr>
        <w:spacing w:before="120"/>
        <w:contextualSpacing w:val="0"/>
        <w:rPr>
          <w:rFonts w:eastAsia="Calibri"/>
          <w:sz w:val="24"/>
          <w:szCs w:val="24"/>
        </w:rPr>
      </w:pPr>
      <w:r w:rsidRPr="001B1DA7">
        <w:rPr>
          <w:rFonts w:eastAsia="Calibri"/>
          <w:sz w:val="24"/>
          <w:szCs w:val="24"/>
        </w:rPr>
        <w:t>[Other areas of interest]</w:t>
      </w:r>
    </w:p>
    <w:sectPr w:rsidR="009964F9" w:rsidRPr="001B1DA7" w:rsidSect="00A7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A5EF" w14:textId="77777777" w:rsidR="00202B48" w:rsidRDefault="00202B48" w:rsidP="00102B7E">
      <w:r>
        <w:separator/>
      </w:r>
    </w:p>
  </w:endnote>
  <w:endnote w:type="continuationSeparator" w:id="0">
    <w:p w14:paraId="2C38F3D7" w14:textId="77777777" w:rsidR="00202B48" w:rsidRDefault="00202B48" w:rsidP="001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A5D5" w14:textId="77777777" w:rsidR="00202B48" w:rsidRDefault="00202B48" w:rsidP="00102B7E">
      <w:r>
        <w:separator/>
      </w:r>
    </w:p>
  </w:footnote>
  <w:footnote w:type="continuationSeparator" w:id="0">
    <w:p w14:paraId="0A879652" w14:textId="77777777" w:rsidR="00202B48" w:rsidRDefault="00202B48" w:rsidP="0010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F9C"/>
    <w:multiLevelType w:val="hybridMultilevel"/>
    <w:tmpl w:val="E932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AFF"/>
    <w:multiLevelType w:val="hybridMultilevel"/>
    <w:tmpl w:val="1296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AB4"/>
    <w:multiLevelType w:val="hybridMultilevel"/>
    <w:tmpl w:val="6142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4DC0"/>
    <w:multiLevelType w:val="hybridMultilevel"/>
    <w:tmpl w:val="2A9865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A96356"/>
    <w:multiLevelType w:val="hybridMultilevel"/>
    <w:tmpl w:val="2A54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25ED"/>
    <w:multiLevelType w:val="hybridMultilevel"/>
    <w:tmpl w:val="37A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77B6"/>
    <w:multiLevelType w:val="hybridMultilevel"/>
    <w:tmpl w:val="981C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4070C"/>
    <w:multiLevelType w:val="hybridMultilevel"/>
    <w:tmpl w:val="EF622B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2D645F"/>
    <w:multiLevelType w:val="hybridMultilevel"/>
    <w:tmpl w:val="A59E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87F55"/>
    <w:multiLevelType w:val="hybridMultilevel"/>
    <w:tmpl w:val="83F0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BD"/>
    <w:rsid w:val="00005B3F"/>
    <w:rsid w:val="00006CF0"/>
    <w:rsid w:val="00020B73"/>
    <w:rsid w:val="00031288"/>
    <w:rsid w:val="000336C4"/>
    <w:rsid w:val="00036531"/>
    <w:rsid w:val="00040008"/>
    <w:rsid w:val="00040D92"/>
    <w:rsid w:val="00044B2E"/>
    <w:rsid w:val="000529AE"/>
    <w:rsid w:val="00060BDE"/>
    <w:rsid w:val="000677B1"/>
    <w:rsid w:val="00076CA1"/>
    <w:rsid w:val="00086041"/>
    <w:rsid w:val="000A2C41"/>
    <w:rsid w:val="000C2F85"/>
    <w:rsid w:val="000E0E6E"/>
    <w:rsid w:val="000E3CA4"/>
    <w:rsid w:val="000E40C2"/>
    <w:rsid w:val="000E5657"/>
    <w:rsid w:val="00102B7E"/>
    <w:rsid w:val="00103C97"/>
    <w:rsid w:val="00104557"/>
    <w:rsid w:val="001067D1"/>
    <w:rsid w:val="00106B87"/>
    <w:rsid w:val="00124404"/>
    <w:rsid w:val="00140231"/>
    <w:rsid w:val="0014719F"/>
    <w:rsid w:val="00155732"/>
    <w:rsid w:val="00177AA3"/>
    <w:rsid w:val="00180226"/>
    <w:rsid w:val="00190EF7"/>
    <w:rsid w:val="00195159"/>
    <w:rsid w:val="001976E2"/>
    <w:rsid w:val="001A14DE"/>
    <w:rsid w:val="001B1DA7"/>
    <w:rsid w:val="001B409C"/>
    <w:rsid w:val="001C2CC2"/>
    <w:rsid w:val="001C40B9"/>
    <w:rsid w:val="001C52A4"/>
    <w:rsid w:val="001D0482"/>
    <w:rsid w:val="001E5BD7"/>
    <w:rsid w:val="001F0012"/>
    <w:rsid w:val="00202B48"/>
    <w:rsid w:val="0022374E"/>
    <w:rsid w:val="00227175"/>
    <w:rsid w:val="00236D3F"/>
    <w:rsid w:val="0024653D"/>
    <w:rsid w:val="00256108"/>
    <w:rsid w:val="002647EC"/>
    <w:rsid w:val="00270946"/>
    <w:rsid w:val="00282E6C"/>
    <w:rsid w:val="0029444E"/>
    <w:rsid w:val="002A0A6A"/>
    <w:rsid w:val="002A4800"/>
    <w:rsid w:val="002A7C49"/>
    <w:rsid w:val="002B0BB5"/>
    <w:rsid w:val="002B1BFA"/>
    <w:rsid w:val="002B54E4"/>
    <w:rsid w:val="002C22E7"/>
    <w:rsid w:val="002E5889"/>
    <w:rsid w:val="002E691E"/>
    <w:rsid w:val="00306AF2"/>
    <w:rsid w:val="003070CD"/>
    <w:rsid w:val="00313DD6"/>
    <w:rsid w:val="003327F5"/>
    <w:rsid w:val="003368AD"/>
    <w:rsid w:val="00345ABB"/>
    <w:rsid w:val="00345CD5"/>
    <w:rsid w:val="00374E6D"/>
    <w:rsid w:val="00376F86"/>
    <w:rsid w:val="003854C3"/>
    <w:rsid w:val="003942B1"/>
    <w:rsid w:val="003A531F"/>
    <w:rsid w:val="003A67AA"/>
    <w:rsid w:val="003A690D"/>
    <w:rsid w:val="003C11EB"/>
    <w:rsid w:val="003D70E3"/>
    <w:rsid w:val="003D7853"/>
    <w:rsid w:val="003F1B6F"/>
    <w:rsid w:val="003F5503"/>
    <w:rsid w:val="003F59C3"/>
    <w:rsid w:val="0040020A"/>
    <w:rsid w:val="00411083"/>
    <w:rsid w:val="00411431"/>
    <w:rsid w:val="00424A32"/>
    <w:rsid w:val="004311CE"/>
    <w:rsid w:val="0043237D"/>
    <w:rsid w:val="004467C9"/>
    <w:rsid w:val="00453359"/>
    <w:rsid w:val="00471354"/>
    <w:rsid w:val="00472DC3"/>
    <w:rsid w:val="004822DD"/>
    <w:rsid w:val="004858E7"/>
    <w:rsid w:val="004907E0"/>
    <w:rsid w:val="00496006"/>
    <w:rsid w:val="00497282"/>
    <w:rsid w:val="004A137D"/>
    <w:rsid w:val="004A1F69"/>
    <w:rsid w:val="004B1E65"/>
    <w:rsid w:val="004B507C"/>
    <w:rsid w:val="004C29CA"/>
    <w:rsid w:val="004C4709"/>
    <w:rsid w:val="004C6801"/>
    <w:rsid w:val="004D04BD"/>
    <w:rsid w:val="004D17A3"/>
    <w:rsid w:val="00507F49"/>
    <w:rsid w:val="0051362D"/>
    <w:rsid w:val="00527AE9"/>
    <w:rsid w:val="00527BE8"/>
    <w:rsid w:val="00530797"/>
    <w:rsid w:val="00540744"/>
    <w:rsid w:val="005437ED"/>
    <w:rsid w:val="0055595D"/>
    <w:rsid w:val="0055736A"/>
    <w:rsid w:val="00564D53"/>
    <w:rsid w:val="005668D7"/>
    <w:rsid w:val="0057052E"/>
    <w:rsid w:val="005775BA"/>
    <w:rsid w:val="005A754F"/>
    <w:rsid w:val="005B15DF"/>
    <w:rsid w:val="005C29A1"/>
    <w:rsid w:val="005C3C4F"/>
    <w:rsid w:val="005D29C7"/>
    <w:rsid w:val="005E2423"/>
    <w:rsid w:val="005E3F23"/>
    <w:rsid w:val="005F0144"/>
    <w:rsid w:val="005F7EF8"/>
    <w:rsid w:val="00637EC8"/>
    <w:rsid w:val="00637FF9"/>
    <w:rsid w:val="006514D1"/>
    <w:rsid w:val="00670171"/>
    <w:rsid w:val="00676AB8"/>
    <w:rsid w:val="00680BB1"/>
    <w:rsid w:val="00682436"/>
    <w:rsid w:val="00685550"/>
    <w:rsid w:val="006857EB"/>
    <w:rsid w:val="006A18C3"/>
    <w:rsid w:val="006A2EB7"/>
    <w:rsid w:val="006A4BC1"/>
    <w:rsid w:val="006B420C"/>
    <w:rsid w:val="006C204F"/>
    <w:rsid w:val="006C5ADE"/>
    <w:rsid w:val="006C5C7C"/>
    <w:rsid w:val="006D1C96"/>
    <w:rsid w:val="006E24B5"/>
    <w:rsid w:val="006E27F7"/>
    <w:rsid w:val="00703ED6"/>
    <w:rsid w:val="0071052F"/>
    <w:rsid w:val="00727432"/>
    <w:rsid w:val="00743288"/>
    <w:rsid w:val="007478B3"/>
    <w:rsid w:val="00750C86"/>
    <w:rsid w:val="00757405"/>
    <w:rsid w:val="007578A1"/>
    <w:rsid w:val="00761198"/>
    <w:rsid w:val="00764713"/>
    <w:rsid w:val="00765A38"/>
    <w:rsid w:val="0077679B"/>
    <w:rsid w:val="00781370"/>
    <w:rsid w:val="00783DEB"/>
    <w:rsid w:val="00785C33"/>
    <w:rsid w:val="007952ED"/>
    <w:rsid w:val="0079572A"/>
    <w:rsid w:val="007A4FFB"/>
    <w:rsid w:val="007A50F5"/>
    <w:rsid w:val="007A5CF9"/>
    <w:rsid w:val="007B4DD4"/>
    <w:rsid w:val="007B5481"/>
    <w:rsid w:val="007B6ACB"/>
    <w:rsid w:val="007C0779"/>
    <w:rsid w:val="007D3404"/>
    <w:rsid w:val="007D6902"/>
    <w:rsid w:val="007E7546"/>
    <w:rsid w:val="007F2352"/>
    <w:rsid w:val="0080148A"/>
    <w:rsid w:val="00805DE3"/>
    <w:rsid w:val="00815FC6"/>
    <w:rsid w:val="00817549"/>
    <w:rsid w:val="00833158"/>
    <w:rsid w:val="008351B4"/>
    <w:rsid w:val="00837004"/>
    <w:rsid w:val="0084329A"/>
    <w:rsid w:val="00846D06"/>
    <w:rsid w:val="00860E19"/>
    <w:rsid w:val="00866AC4"/>
    <w:rsid w:val="00880AF0"/>
    <w:rsid w:val="00886CB4"/>
    <w:rsid w:val="008A1C89"/>
    <w:rsid w:val="008A4EB6"/>
    <w:rsid w:val="008B71A1"/>
    <w:rsid w:val="008C4656"/>
    <w:rsid w:val="008D7BC0"/>
    <w:rsid w:val="00900CA9"/>
    <w:rsid w:val="009020D6"/>
    <w:rsid w:val="00902BF2"/>
    <w:rsid w:val="0091142A"/>
    <w:rsid w:val="00951F18"/>
    <w:rsid w:val="009536A2"/>
    <w:rsid w:val="0095470D"/>
    <w:rsid w:val="00956923"/>
    <w:rsid w:val="00987267"/>
    <w:rsid w:val="0099563B"/>
    <w:rsid w:val="009964F9"/>
    <w:rsid w:val="00996EFF"/>
    <w:rsid w:val="009A0ABF"/>
    <w:rsid w:val="009B29FC"/>
    <w:rsid w:val="009B38B0"/>
    <w:rsid w:val="009C0131"/>
    <w:rsid w:val="009E4861"/>
    <w:rsid w:val="009F51DB"/>
    <w:rsid w:val="00A070D3"/>
    <w:rsid w:val="00A10BD5"/>
    <w:rsid w:val="00A22E52"/>
    <w:rsid w:val="00A239C6"/>
    <w:rsid w:val="00A30446"/>
    <w:rsid w:val="00A3574F"/>
    <w:rsid w:val="00A3629E"/>
    <w:rsid w:val="00A414A7"/>
    <w:rsid w:val="00A5351F"/>
    <w:rsid w:val="00A55F16"/>
    <w:rsid w:val="00A65595"/>
    <w:rsid w:val="00A7267F"/>
    <w:rsid w:val="00A778AC"/>
    <w:rsid w:val="00A92C54"/>
    <w:rsid w:val="00AA1B3A"/>
    <w:rsid w:val="00AA3A63"/>
    <w:rsid w:val="00AB3404"/>
    <w:rsid w:val="00AD03A2"/>
    <w:rsid w:val="00AD5FBC"/>
    <w:rsid w:val="00AD79D8"/>
    <w:rsid w:val="00AE3088"/>
    <w:rsid w:val="00AE33C8"/>
    <w:rsid w:val="00AE4A3A"/>
    <w:rsid w:val="00AF5E6B"/>
    <w:rsid w:val="00B01218"/>
    <w:rsid w:val="00B0527A"/>
    <w:rsid w:val="00B0660E"/>
    <w:rsid w:val="00B1307C"/>
    <w:rsid w:val="00B172EF"/>
    <w:rsid w:val="00B33593"/>
    <w:rsid w:val="00B47657"/>
    <w:rsid w:val="00B5270E"/>
    <w:rsid w:val="00B5360C"/>
    <w:rsid w:val="00B63D8A"/>
    <w:rsid w:val="00B86E43"/>
    <w:rsid w:val="00B87B9F"/>
    <w:rsid w:val="00B9346C"/>
    <w:rsid w:val="00B93484"/>
    <w:rsid w:val="00BB2DF5"/>
    <w:rsid w:val="00BD1F94"/>
    <w:rsid w:val="00BD4E04"/>
    <w:rsid w:val="00BD75F0"/>
    <w:rsid w:val="00BD7DB5"/>
    <w:rsid w:val="00BE2E58"/>
    <w:rsid w:val="00BF0232"/>
    <w:rsid w:val="00BF0C4E"/>
    <w:rsid w:val="00C01219"/>
    <w:rsid w:val="00C04CFC"/>
    <w:rsid w:val="00C065A0"/>
    <w:rsid w:val="00C11DCB"/>
    <w:rsid w:val="00C21B0B"/>
    <w:rsid w:val="00C3648E"/>
    <w:rsid w:val="00C432B3"/>
    <w:rsid w:val="00C629F9"/>
    <w:rsid w:val="00C62E4E"/>
    <w:rsid w:val="00C63C11"/>
    <w:rsid w:val="00C63D47"/>
    <w:rsid w:val="00C64715"/>
    <w:rsid w:val="00CA1B78"/>
    <w:rsid w:val="00CA287B"/>
    <w:rsid w:val="00CA2BAA"/>
    <w:rsid w:val="00CA79C8"/>
    <w:rsid w:val="00CB4974"/>
    <w:rsid w:val="00CB6227"/>
    <w:rsid w:val="00CC32F0"/>
    <w:rsid w:val="00CC7E5D"/>
    <w:rsid w:val="00CD2250"/>
    <w:rsid w:val="00CE6076"/>
    <w:rsid w:val="00CF241B"/>
    <w:rsid w:val="00D007B0"/>
    <w:rsid w:val="00D02428"/>
    <w:rsid w:val="00D210BC"/>
    <w:rsid w:val="00D2201A"/>
    <w:rsid w:val="00D226FE"/>
    <w:rsid w:val="00D35B22"/>
    <w:rsid w:val="00D4137A"/>
    <w:rsid w:val="00D519AA"/>
    <w:rsid w:val="00D52455"/>
    <w:rsid w:val="00D527D9"/>
    <w:rsid w:val="00D66694"/>
    <w:rsid w:val="00D73008"/>
    <w:rsid w:val="00D86849"/>
    <w:rsid w:val="00D90E9D"/>
    <w:rsid w:val="00D90ECE"/>
    <w:rsid w:val="00DA69F5"/>
    <w:rsid w:val="00DC1BD6"/>
    <w:rsid w:val="00DC34A3"/>
    <w:rsid w:val="00DC3522"/>
    <w:rsid w:val="00DD177D"/>
    <w:rsid w:val="00DD49EA"/>
    <w:rsid w:val="00DE27FC"/>
    <w:rsid w:val="00DF3910"/>
    <w:rsid w:val="00DF4ABA"/>
    <w:rsid w:val="00DF4D1E"/>
    <w:rsid w:val="00E2406F"/>
    <w:rsid w:val="00E40F9D"/>
    <w:rsid w:val="00E41FB5"/>
    <w:rsid w:val="00E43976"/>
    <w:rsid w:val="00E51669"/>
    <w:rsid w:val="00E61528"/>
    <w:rsid w:val="00E70EC8"/>
    <w:rsid w:val="00E73F95"/>
    <w:rsid w:val="00E84EE3"/>
    <w:rsid w:val="00E94DDE"/>
    <w:rsid w:val="00E9554B"/>
    <w:rsid w:val="00EB3C88"/>
    <w:rsid w:val="00EB52B0"/>
    <w:rsid w:val="00EC070B"/>
    <w:rsid w:val="00EC1805"/>
    <w:rsid w:val="00ED0F86"/>
    <w:rsid w:val="00EE07ED"/>
    <w:rsid w:val="00F011D1"/>
    <w:rsid w:val="00F10C4D"/>
    <w:rsid w:val="00F242C0"/>
    <w:rsid w:val="00F31756"/>
    <w:rsid w:val="00F37DA3"/>
    <w:rsid w:val="00F5727D"/>
    <w:rsid w:val="00F628F5"/>
    <w:rsid w:val="00F721AE"/>
    <w:rsid w:val="00F755C1"/>
    <w:rsid w:val="00F953E1"/>
    <w:rsid w:val="00FA4944"/>
    <w:rsid w:val="00FA5828"/>
    <w:rsid w:val="00FC0A0D"/>
    <w:rsid w:val="00FC152C"/>
    <w:rsid w:val="00FC16F5"/>
    <w:rsid w:val="00FE6CA8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5F9F"/>
  <w15:docId w15:val="{506BA5AA-2CAE-4810-8938-32BAC208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BD"/>
    <w:pPr>
      <w:spacing w:after="0" w:line="240" w:lineRule="auto"/>
      <w:jc w:val="both"/>
    </w:pPr>
    <w:rPr>
      <w:rFonts w:ascii="Calibri" w:hAnsi="Calibri" w:cs="Times New Roman"/>
      <w:szCs w:val="20"/>
    </w:rPr>
  </w:style>
  <w:style w:type="paragraph" w:styleId="Heading1">
    <w:name w:val="heading 1"/>
    <w:aliases w:val="Chapter Title"/>
    <w:basedOn w:val="Normal"/>
    <w:next w:val="Normal"/>
    <w:link w:val="Heading1Char"/>
    <w:qFormat/>
    <w:rsid w:val="004D04BD"/>
    <w:pPr>
      <w:keepNext/>
      <w:pBdr>
        <w:bottom w:val="single" w:sz="18" w:space="4" w:color="5B9BD5" w:themeColor="accent1"/>
      </w:pBdr>
      <w:outlineLvl w:val="0"/>
    </w:pPr>
    <w:rPr>
      <w:rFonts w:ascii="Tahoma" w:eastAsiaTheme="majorEastAsia" w:hAnsi="Tahoma" w:cstheme="majorBidi"/>
      <w:b/>
      <w:bCs/>
      <w:color w:val="5B9BD5" w:themeColor="accen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Char"/>
    <w:basedOn w:val="DefaultParagraphFont"/>
    <w:link w:val="Heading1"/>
    <w:rsid w:val="004D04BD"/>
    <w:rPr>
      <w:rFonts w:ascii="Tahoma" w:eastAsiaTheme="majorEastAsia" w:hAnsi="Tahoma" w:cstheme="majorBidi"/>
      <w:b/>
      <w:bCs/>
      <w:color w:val="5B9BD5" w:themeColor="accent1"/>
      <w:sz w:val="32"/>
      <w:szCs w:val="28"/>
    </w:rPr>
  </w:style>
  <w:style w:type="paragraph" w:styleId="ListParagraph">
    <w:name w:val="List Paragraph"/>
    <w:basedOn w:val="Normal"/>
    <w:uiPriority w:val="34"/>
    <w:qFormat/>
    <w:rsid w:val="00805DE3"/>
    <w:pPr>
      <w:ind w:left="720"/>
      <w:contextualSpacing/>
    </w:pPr>
  </w:style>
  <w:style w:type="paragraph" w:styleId="BodyText">
    <w:name w:val="Body Text"/>
    <w:basedOn w:val="Normal"/>
    <w:link w:val="BodyTextChar"/>
    <w:rsid w:val="009B38B0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38B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406F"/>
    <w:pPr>
      <w:spacing w:after="0" w:line="240" w:lineRule="auto"/>
    </w:pPr>
    <w:rPr>
      <w:rFonts w:eastAsiaTheme="minorEastAsia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0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012"/>
    <w:rPr>
      <w:rFonts w:ascii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F0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012"/>
    <w:rPr>
      <w:rFonts w:ascii="Calibri" w:hAnsi="Calibri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7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C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CC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C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C2CC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70171"/>
    <w:pPr>
      <w:spacing w:after="0" w:line="240" w:lineRule="auto"/>
    </w:pPr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14" Type="http://schemas.openxmlformats.org/officeDocument/2006/relationships/theme" Target="theme/theme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F761F5EBE6C47A5825D719C9B0DDA" ma:contentTypeVersion="2" ma:contentTypeDescription="Create a new document." ma:contentTypeScope="" ma:versionID="b875ced5785af5b39c4c785b0b61c45f">
  <xsd:schema xmlns:xsd="http://www.w3.org/2001/XMLSchema" xmlns:xs="http://www.w3.org/2001/XMLSchema" xmlns:p="http://schemas.microsoft.com/office/2006/metadata/properties" xmlns:ns2="cbf880be-c7c2-4487-81cc-39803b2f2238" xmlns:ns3="http://schemas.microsoft.com/sharepoint/v3/fields" xmlns:ns4="d255dc3e-053e-4b62-8283-68abfc61cdbb" targetNamespace="http://schemas.microsoft.com/office/2006/metadata/properties" ma:root="true" ma:fieldsID="aa02214273cedb9e9e55c11244271d92" ns2:_="" ns3:_="" ns4:_="">
    <xsd:import namespace="cbf880be-c7c2-4487-81cc-39803b2f2238"/>
    <xsd:import namespace="http://schemas.microsoft.com/sharepoint/v3/fields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34ec5a1-7459-4c4a-bfa5-f5fa436f81a1" ContentTypeId="0x01010078EEA3ECF0D5C6409A451734D31E55AF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f880be-c7c2-4487-81cc-39803b2f2238">V5FEZNQ3RRSY-1627399050-12</_dlc_DocId>
    <_dlc_DocIdUrl xmlns="cbf880be-c7c2-4487-81cc-39803b2f2238">
      <Url>http://departments.internal.nerc.com/reliabilityassessment/_layouts/15/DocIdRedir.aspx?ID=V5FEZNQ3RRSY-1627399050-12</Url>
      <Description>V5FEZNQ3RRSY-1627399050-12</Description>
    </_dlc_DocIdUrl>
    <_DCDateCreated xmlns="http://schemas.microsoft.com/sharepoint/v3/fields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babalistic Assessments Document" ma:contentTypeID="0x01010078EEA3ECF0D5C6409A451734D31E55AF9000195285C9E1E9AF4FB10DF640C0632FFF" ma:contentTypeVersion="96" ma:contentTypeDescription="" ma:contentTypeScope="" ma:versionID="bafbb537d755d3bfd7145965608c210e">
  <xsd:schema xmlns:xsd="http://www.w3.org/2001/XMLSchema" xmlns:xs="http://www.w3.org/2001/XMLSchema" xmlns:p="http://schemas.microsoft.com/office/2006/metadata/properties" xmlns:ns1="http://schemas.microsoft.com/sharepoint/v3" xmlns:ns2="be72bb46-7b96-43f6-b3d2-cb56bca42853" targetNamespace="http://schemas.microsoft.com/office/2006/metadata/properties" ma:root="true" ma:fieldsID="0860c4a8293afb7a86a282f4da2f6d37" ns1:_="" ns2:_="">
    <xsd:import namespace="http://schemas.microsoft.com/sharepoint/v3"/>
    <xsd:import namespace="be72bb46-7b96-43f6-b3d2-cb56bca42853"/>
    <xsd:element name="properties">
      <xsd:complexType>
        <xsd:sequence>
          <xsd:element name="documentManagement">
            <xsd:complexType>
              <xsd:all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TaxCatchAllLabel" minOccurs="0"/>
                <xsd:element ref="ns2:b5e10b6548044edaacad5f88270ba6b0" minOccurs="0"/>
                <xsd:element ref="ns2:ha854ffd4af946f1b23e64bfa0f7277a" minOccurs="0"/>
                <xsd:element ref="ns2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i8bd60139bbc4894bbfcf8b93744c4d2" minOccurs="0"/>
                <xsd:element ref="ns2:m035cb2d7f1e41e2ab08cf7eb02f5af4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Data_x0020_Classification_x0020_Restrictions" ma:index="5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7" nillable="true" ma:displayName="To" ma:internalName="To">
      <xsd:simpleType>
        <xsd:restriction base="dms:Text">
          <xsd:maxLength value="255"/>
        </xsd:restriction>
      </xsd:simpleType>
    </xsd:element>
    <xsd:element name="From1" ma:index="8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9" nillable="true" ma:displayName="Date Received" ma:format="DateOnly" ma:internalName="Date_x0020_Received" ma:readOnly="false">
      <xsd:simpleType>
        <xsd:restriction base="dms:DateTime"/>
      </xsd:simpleType>
    </xsd:element>
    <xsd:element name="Review_x0020_History" ma:index="10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TaxCatchAllLabel" ma:index="11" nillable="true" ma:displayName="Taxonomy Catch All Column1" ma:hidden="true" ma:list="{61717491-55c1-4e8c-888c-50ad4267378d}" ma:internalName="TaxCatchAllLabel" ma:readOnly="true" ma:showField="CatchAllDataLabel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e10b6548044edaacad5f88270ba6b0" ma:index="13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854ffd4af946f1b23e64bfa0f7277a" ma:index="16" nillable="true" ma:taxonomy="true" ma:internalName="ha854ffd4af946f1b23e64bfa0f7277a" ma:taxonomyFieldName="Document_x0020_Status" ma:displayName="Document Status" ma:default="" ma:fieldId="{1a854ffd-4af9-46f1-b23e-64bfa0f7277a}" ma:sspId="9444bc9d-bb2e-441f-89a7-915ba9281662" ma:termSetId="175457d8-996a-4f76-a0e0-aa8a178fe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61717491-55c1-4e8c-888c-50ad4267378d}" ma:internalName="TaxCatchAll" ma:showField="CatchAllData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8bd60139bbc4894bbfcf8b93744c4d2" ma:index="25" nillable="true" ma:taxonomy="true" ma:internalName="i8bd60139bbc4894bbfcf8b93744c4d2" ma:taxonomyFieldName="Report_x0020_Year" ma:displayName="Report Year" ma:indexed="true" ma:default="" ma:fieldId="{28bd6013-9bbc-4894-bbfc-f8b93744c4d2}" ma:sspId="9444bc9d-bb2e-441f-89a7-915ba9281662" ma:termSetId="4c3cdaed-bc9b-4049-ae9a-3ae57fb9c4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35cb2d7f1e41e2ab08cf7eb02f5af4" ma:index="28" ma:taxonomy="true" ma:internalName="m035cb2d7f1e41e2ab08cf7eb02f5af4" ma:taxonomyFieldName="Probabalistic_x0020_Assessments_x0020_Category" ma:displayName="Probabalistic Assessments Category" ma:indexed="true" ma:default="" ma:fieldId="{6035cb2d-7f1e-41e2-ab08-cf7eb02f5af4}" ma:sspId="9444bc9d-bb2e-441f-89a7-915ba9281662" ma:termSetId="b92eca24-1d8b-427d-94b4-53d9ac730c61" ma:anchorId="029a411d-69b4-486f-ab67-b18eac4f832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8EA9B-E443-4F2C-B126-AF00FF956097}"/>
</file>

<file path=customXml/itemProps2.xml><?xml version="1.0" encoding="utf-8"?>
<ds:datastoreItem xmlns:ds="http://schemas.openxmlformats.org/officeDocument/2006/customXml" ds:itemID="{169A9474-C62A-421F-B230-07F00FD6CDC9}"/>
</file>

<file path=customXml/itemProps3.xml><?xml version="1.0" encoding="utf-8"?>
<ds:datastoreItem xmlns:ds="http://schemas.openxmlformats.org/officeDocument/2006/customXml" ds:itemID="{29074162-E884-4B8A-8B69-D70E45D61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AEE28-D905-47CB-AB35-DC1FEF8CF6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4035267-4A55-450C-88A3-FA837619F112}">
  <ds:schemaRefs>
    <ds:schemaRef ds:uri="http://schemas.microsoft.com/office/2006/metadata/properties"/>
    <ds:schemaRef ds:uri="http://schemas.microsoft.com/office/infopath/2007/PartnerControls"/>
    <ds:schemaRef ds:uri="be72bb46-7b96-43f6-b3d2-cb56bca42853"/>
  </ds:schemaRefs>
</ds:datastoreItem>
</file>

<file path=customXml/itemProps6.xml><?xml version="1.0" encoding="utf-8"?>
<ds:datastoreItem xmlns:ds="http://schemas.openxmlformats.org/officeDocument/2006/customXml" ds:itemID="{C9E52BDF-6BFD-4E9E-9299-1438DDE3F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2bb46-7b96-43f6-b3d2-cb56bca4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5720</Characters>
  <Application>Microsoft Office Word</Application>
  <DocSecurity>0</DocSecurity>
  <Lines>211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American Electric Reliability Corporation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Noha Abdel-Karim</dc:creator>
  <cp:lastModifiedBy>Levetra Pitts</cp:lastModifiedBy>
  <cp:revision>2</cp:revision>
  <cp:lastPrinted>2018-07-18T16:14:00Z</cp:lastPrinted>
  <dcterms:created xsi:type="dcterms:W3CDTF">2020-05-18T18:04:00Z</dcterms:created>
  <dcterms:modified xsi:type="dcterms:W3CDTF">2020-05-18T18:04:00Z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0x010100841F761F5EBE6C47A5825D719C9B0DDA</vt:lpwstr>
  </property>
  <property fmtid="{D5CDD505-2E9C-101B-9397-08002B2CF9AE}" pid="3" name="GS_AddingInProgress">
    <vt:lpwstr>False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27588eda-fcdc-4f2c-ba92-4719f966bba6</vt:lpwstr>
  </property>
  <property fmtid="{D5CDD505-2E9C-101B-9397-08002B2CF9AE}" pid="7" name="TaxKeyword">
    <vt:lpwstr/>
  </property>
  <property fmtid="{D5CDD505-2E9C-101B-9397-08002B2CF9AE}" pid="8" name="Probabalistic Assessments Category">
    <vt:lpwstr>2599;#Reports|0b9c0844-5eab-42c3-a20a-2b707a4ffb96</vt:lpwstr>
  </property>
  <property fmtid="{D5CDD505-2E9C-101B-9397-08002B2CF9AE}" pid="9" name="Report Year">
    <vt:lpwstr>10412;#2020|365d2730-4d9c-41da-ab8c-d11710156177</vt:lpwstr>
  </property>
  <property fmtid="{D5CDD505-2E9C-101B-9397-08002B2CF9AE}" pid="10" name="Document Status">
    <vt:lpwstr>9;#Draft|cf49adec-bef5-40d5-8c4d-c7eb8bd3c6d3</vt:lpwstr>
  </property>
  <property fmtid="{D5CDD505-2E9C-101B-9397-08002B2CF9AE}" pid="11" name="Data Classification">
    <vt:lpwstr>33;#Public|969d2088-f4a2-40d0-9fc0-dbaa413e93e1</vt:lpwstr>
  </property>
</Properties>
</file>